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530" w:rsidP="00A77530" w:rsidRDefault="00A77530" w14:paraId="285E1219" w14:textId="77777777"/>
    <w:p w:rsidR="00A77530" w:rsidP="00A77530" w:rsidRDefault="00A77530" w14:paraId="798BD94D" w14:textId="77777777"/>
    <w:p w:rsidR="00A77530" w:rsidP="00A77530" w:rsidRDefault="00A77530" w14:paraId="2C9BB1C0" w14:textId="77777777"/>
    <w:p w:rsidR="00A77530" w:rsidP="00A77530" w:rsidRDefault="00A77530" w14:paraId="2901857E" w14:textId="77777777"/>
    <w:p w:rsidR="00A77530" w:rsidP="00A77530" w:rsidRDefault="00A77530" w14:paraId="53F64972" w14:textId="44553858">
      <w:r w:rsidRPr="00492FB2">
        <w:t>Geachte voorzitter,</w:t>
      </w:r>
    </w:p>
    <w:p w:rsidR="00A77530" w:rsidP="00A77530" w:rsidRDefault="00A77530" w14:paraId="2A6C79B9" w14:textId="77777777"/>
    <w:p w:rsidR="00A77530" w:rsidP="008F49AF" w:rsidRDefault="00A77530" w14:paraId="337427AC" w14:textId="229B1341">
      <w:r w:rsidRPr="00492FB2">
        <w:t xml:space="preserve">Met deze brief bied ik u </w:t>
      </w:r>
      <w:r>
        <w:t xml:space="preserve">het eindrapport van het onderzoek van </w:t>
      </w:r>
      <w:proofErr w:type="spellStart"/>
      <w:r w:rsidR="00E17D6F">
        <w:t>Andersson</w:t>
      </w:r>
      <w:proofErr w:type="spellEnd"/>
      <w:r w:rsidR="00E17D6F">
        <w:t xml:space="preserve"> </w:t>
      </w:r>
      <w:proofErr w:type="spellStart"/>
      <w:r w:rsidR="00E17D6F">
        <w:t>Elffers</w:t>
      </w:r>
      <w:proofErr w:type="spellEnd"/>
      <w:r w:rsidR="00E17D6F">
        <w:t xml:space="preserve"> Felix (AEF) </w:t>
      </w:r>
      <w:r>
        <w:t xml:space="preserve">naar </w:t>
      </w:r>
      <w:r w:rsidRPr="00492FB2">
        <w:t>de implementatie van prenatale huisbezoeken</w:t>
      </w:r>
      <w:r>
        <w:t xml:space="preserve"> door de Jeugdgezondheidszorg</w:t>
      </w:r>
      <w:r w:rsidR="00E17D6F">
        <w:t xml:space="preserve"> </w:t>
      </w:r>
      <w:r>
        <w:t xml:space="preserve">aan en </w:t>
      </w:r>
      <w:r w:rsidRPr="00492FB2">
        <w:t xml:space="preserve">mijn beleidsreactie </w:t>
      </w:r>
      <w:r>
        <w:t>hier</w:t>
      </w:r>
      <w:r w:rsidRPr="00492FB2">
        <w:t xml:space="preserve">op. </w:t>
      </w:r>
      <w:r w:rsidR="004E381D">
        <w:t xml:space="preserve">Het eindrapport bevat 10 aanbevelingen waarmee de uitvoering van PHB JGZ </w:t>
      </w:r>
      <w:r w:rsidR="006A2CEF">
        <w:t xml:space="preserve">volgens de onderzoekers </w:t>
      </w:r>
      <w:r w:rsidR="006A274A">
        <w:t>kan worden</w:t>
      </w:r>
      <w:r w:rsidR="004E381D">
        <w:t xml:space="preserve"> versterkt.</w:t>
      </w:r>
      <w:r w:rsidR="00D359C8">
        <w:rPr>
          <w:rStyle w:val="Zwaar"/>
          <w:rFonts w:ascii="Open Sans" w:hAnsi="Open Sans" w:cs="Open Sans"/>
          <w:color w:val="0A0A0A"/>
          <w:shd w:val="clear" w:color="auto" w:fill="F5F5F5"/>
        </w:rPr>
        <w:br/>
      </w:r>
      <w:r w:rsidR="00D359C8">
        <w:rPr>
          <w:rStyle w:val="Zwaar"/>
          <w:rFonts w:ascii="Open Sans" w:hAnsi="Open Sans" w:cs="Open Sans"/>
          <w:color w:val="0A0A0A"/>
          <w:shd w:val="clear" w:color="auto" w:fill="F5F5F5"/>
        </w:rPr>
        <w:br/>
      </w:r>
      <w:r w:rsidR="004E331E">
        <w:rPr>
          <w:rFonts w:cstheme="minorBidi"/>
          <w:color w:val="auto"/>
          <w:kern w:val="2"/>
          <w:szCs w:val="22"/>
        </w:rPr>
        <w:t xml:space="preserve">Sinds 1 juli 2022 </w:t>
      </w:r>
      <w:r w:rsidRPr="003977B5" w:rsidR="004E331E">
        <w:rPr>
          <w:rFonts w:cstheme="minorBidi"/>
          <w:color w:val="auto"/>
          <w:kern w:val="2"/>
          <w:szCs w:val="22"/>
        </w:rPr>
        <w:t xml:space="preserve">hebben gemeenten de </w:t>
      </w:r>
      <w:r w:rsidR="004E331E">
        <w:rPr>
          <w:rFonts w:cstheme="minorBidi"/>
          <w:color w:val="auto"/>
          <w:kern w:val="2"/>
          <w:szCs w:val="22"/>
        </w:rPr>
        <w:t xml:space="preserve">wettelijke </w:t>
      </w:r>
      <w:r w:rsidRPr="003977B5" w:rsidR="004E331E">
        <w:rPr>
          <w:rFonts w:cstheme="minorBidi"/>
          <w:color w:val="auto"/>
          <w:kern w:val="2"/>
          <w:szCs w:val="22"/>
        </w:rPr>
        <w:t xml:space="preserve">taak om </w:t>
      </w:r>
      <w:r w:rsidRPr="004C52B9" w:rsidR="000B5165">
        <w:t xml:space="preserve">een </w:t>
      </w:r>
      <w:r w:rsidR="0099007C">
        <w:t>p</w:t>
      </w:r>
      <w:r w:rsidR="000B5165">
        <w:t>renataal huisbezoek</w:t>
      </w:r>
      <w:r w:rsidR="00E04BAA">
        <w:t xml:space="preserve"> door de Jeugdgezondheidszorg</w:t>
      </w:r>
      <w:r w:rsidR="000B5165">
        <w:t xml:space="preserve"> (hierna: </w:t>
      </w:r>
      <w:r w:rsidRPr="004C52B9" w:rsidR="000B5165">
        <w:t>PHB JGZ</w:t>
      </w:r>
      <w:r w:rsidR="000B5165">
        <w:t>)</w:t>
      </w:r>
      <w:r w:rsidRPr="004C52B9" w:rsidR="000B5165">
        <w:t xml:space="preserve"> </w:t>
      </w:r>
      <w:r w:rsidRPr="003977B5" w:rsidR="004E331E">
        <w:rPr>
          <w:rFonts w:cstheme="minorBidi"/>
          <w:color w:val="auto"/>
          <w:kern w:val="2"/>
          <w:szCs w:val="22"/>
        </w:rPr>
        <w:t>aan te bieden aan zwangere vrouwen en gezinnen in een kwetsbare situatie in hun gemeente.</w:t>
      </w:r>
      <w:r w:rsidR="00B1267C">
        <w:rPr>
          <w:rStyle w:val="Voetnootmarkering"/>
          <w:rFonts w:cstheme="minorBidi"/>
          <w:color w:val="auto"/>
          <w:kern w:val="2"/>
          <w:szCs w:val="22"/>
        </w:rPr>
        <w:footnoteReference w:id="1"/>
      </w:r>
      <w:r w:rsidR="004E331E">
        <w:t xml:space="preserve"> </w:t>
      </w:r>
      <w:r w:rsidR="005769D0">
        <w:t>Het onderzoek van AEF is een uitwerking van het amendement van het lid Aukje de Vries</w:t>
      </w:r>
      <w:r w:rsidR="00B501D8">
        <w:t>/</w:t>
      </w:r>
      <w:r w:rsidR="005769D0">
        <w:t>Van den Berg van 14 juni 2021</w:t>
      </w:r>
      <w:r w:rsidR="00B17045">
        <w:t>. N</w:t>
      </w:r>
      <w:r w:rsidR="00B60CEC">
        <w:t xml:space="preserve">aar aanleiding </w:t>
      </w:r>
      <w:r w:rsidR="00B17045">
        <w:t>d</w:t>
      </w:r>
      <w:r w:rsidR="00B60CEC">
        <w:t xml:space="preserve">aarvan </w:t>
      </w:r>
      <w:r w:rsidR="00B17045">
        <w:t xml:space="preserve">wordt </w:t>
      </w:r>
      <w:r w:rsidR="00B60CEC">
        <w:t xml:space="preserve">de wetswijziging </w:t>
      </w:r>
      <w:r w:rsidR="00A72760">
        <w:t xml:space="preserve">na twee jaar tussentijds </w:t>
      </w:r>
      <w:r w:rsidR="004E331E">
        <w:t>geëvalueerd</w:t>
      </w:r>
      <w:r w:rsidR="005769D0">
        <w:t>.</w:t>
      </w:r>
      <w:r w:rsidR="005769D0">
        <w:rPr>
          <w:rStyle w:val="Voetnootmarkering"/>
        </w:rPr>
        <w:footnoteReference w:id="2"/>
      </w:r>
      <w:r w:rsidR="005769D0">
        <w:t xml:space="preserve"> </w:t>
      </w:r>
      <w:r w:rsidRPr="00555B93">
        <w:t xml:space="preserve">Het doel van </w:t>
      </w:r>
      <w:r>
        <w:t xml:space="preserve">het </w:t>
      </w:r>
      <w:r w:rsidRPr="00555B93">
        <w:t xml:space="preserve">onderzoek is in beeld te brengen in hoeverre </w:t>
      </w:r>
      <w:r w:rsidR="00B1267C">
        <w:t xml:space="preserve">gemeenten uitvoering geven aan </w:t>
      </w:r>
      <w:r w:rsidRPr="00555B93">
        <w:t>het wet</w:t>
      </w:r>
      <w:r w:rsidR="004E331E">
        <w:t>s</w:t>
      </w:r>
      <w:r w:rsidRPr="00555B93">
        <w:t xml:space="preserve">artikel </w:t>
      </w:r>
      <w:r w:rsidR="003977B5">
        <w:t>en</w:t>
      </w:r>
      <w:r w:rsidR="008F49AF">
        <w:t xml:space="preserve"> </w:t>
      </w:r>
      <w:r w:rsidRPr="00555B93">
        <w:t>te onderzoeken hoe het</w:t>
      </w:r>
      <w:r w:rsidR="00305F72">
        <w:t xml:space="preserve"> PHB JGZ</w:t>
      </w:r>
      <w:r w:rsidRPr="00555B93">
        <w:t xml:space="preserve"> in praktijk verloopt</w:t>
      </w:r>
      <w:r w:rsidR="008F49AF">
        <w:t>. Gekeken is naar</w:t>
      </w:r>
      <w:r w:rsidR="00421755">
        <w:t xml:space="preserve"> </w:t>
      </w:r>
      <w:r w:rsidRPr="00555B93">
        <w:t>hoe (en in hoeverre)</w:t>
      </w:r>
      <w:r w:rsidR="00B17045">
        <w:t xml:space="preserve"> gemeenten</w:t>
      </w:r>
      <w:r w:rsidRPr="00555B93">
        <w:t xml:space="preserve"> het </w:t>
      </w:r>
      <w:r w:rsidR="00305F72">
        <w:t>PHB JGZ</w:t>
      </w:r>
      <w:r w:rsidRPr="00555B93">
        <w:t xml:space="preserve"> in de</w:t>
      </w:r>
      <w:r>
        <w:t xml:space="preserve"> </w:t>
      </w:r>
      <w:r w:rsidRPr="00555B93">
        <w:t xml:space="preserve">praktijk </w:t>
      </w:r>
      <w:r w:rsidR="00B17045">
        <w:t>aanbieden</w:t>
      </w:r>
      <w:r w:rsidRPr="00555B93">
        <w:t>, wat hierin goed gaat en waar nog</w:t>
      </w:r>
      <w:r>
        <w:t xml:space="preserve"> </w:t>
      </w:r>
      <w:r w:rsidRPr="00555B93">
        <w:t>ruimte ligt voor verbetering.</w:t>
      </w:r>
      <w:r>
        <w:t xml:space="preserve"> Na </w:t>
      </w:r>
      <w:r w:rsidRPr="00555B93">
        <w:t>vier jaar</w:t>
      </w:r>
      <w:r w:rsidR="00421755">
        <w:t xml:space="preserve"> zal de </w:t>
      </w:r>
      <w:r w:rsidR="008F49AF">
        <w:t>doeltreffendheid</w:t>
      </w:r>
      <w:r w:rsidR="00421755">
        <w:t xml:space="preserve"> van het </w:t>
      </w:r>
      <w:r w:rsidRPr="00555B93">
        <w:t>wetsartikel</w:t>
      </w:r>
      <w:r w:rsidR="005769D0">
        <w:t xml:space="preserve"> worden geëvalueerd.</w:t>
      </w:r>
    </w:p>
    <w:p w:rsidR="00A77530" w:rsidP="00A77530" w:rsidRDefault="00A77530" w14:paraId="4E7783D1" w14:textId="77777777"/>
    <w:p w:rsidRPr="00A77530" w:rsidR="00A77530" w:rsidP="00A77530" w:rsidRDefault="00A77530" w14:paraId="0A22C8B4" w14:textId="1A8AB72E">
      <w:pPr>
        <w:rPr>
          <w:i/>
          <w:iCs/>
        </w:rPr>
      </w:pPr>
      <w:r w:rsidRPr="00CB22EB">
        <w:t>Ik vind het belangrijk de</w:t>
      </w:r>
      <w:r>
        <w:t xml:space="preserve"> gegeven aanbevelingen </w:t>
      </w:r>
      <w:r w:rsidRPr="00CB22EB">
        <w:t xml:space="preserve">samen met het veld </w:t>
      </w:r>
      <w:r w:rsidR="004C52B9">
        <w:t>uit te werken</w:t>
      </w:r>
      <w:r>
        <w:t xml:space="preserve">. </w:t>
      </w:r>
      <w:r w:rsidR="004C52B9">
        <w:t xml:space="preserve">Daarom heb ik de </w:t>
      </w:r>
      <w:r>
        <w:t xml:space="preserve">aanbevelingen </w:t>
      </w:r>
      <w:r w:rsidR="00584F1A">
        <w:t xml:space="preserve">besproken </w:t>
      </w:r>
      <w:r>
        <w:t xml:space="preserve">met diverse veldpartijen, waaronder de Vereniging Nederlandse Gemeenten (VNG), </w:t>
      </w:r>
      <w:proofErr w:type="spellStart"/>
      <w:r>
        <w:t>Pharos</w:t>
      </w:r>
      <w:proofErr w:type="spellEnd"/>
      <w:r>
        <w:t xml:space="preserve">, het Nederlands Centrum Jeugdgezondheid (NCJ) en de eerder ingestelde klankbordgroep. Hieronder </w:t>
      </w:r>
      <w:r w:rsidR="004C52B9">
        <w:t>geef ik p</w:t>
      </w:r>
      <w:r>
        <w:t xml:space="preserve">er aanbeveling aan wat </w:t>
      </w:r>
      <w:r w:rsidR="00B17045">
        <w:t xml:space="preserve">al </w:t>
      </w:r>
      <w:r>
        <w:t xml:space="preserve">in gang is gezet of </w:t>
      </w:r>
      <w:r w:rsidR="008F49AF">
        <w:t>hoe de aanbeveling word</w:t>
      </w:r>
      <w:r w:rsidR="00584F1A">
        <w:t>t</w:t>
      </w:r>
      <w:r w:rsidR="008F49AF">
        <w:t xml:space="preserve"> uitgewerkt. </w:t>
      </w:r>
      <w:r>
        <w:t xml:space="preserve">Voordat </w:t>
      </w:r>
      <w:r w:rsidR="004C52B9">
        <w:t xml:space="preserve">ik </w:t>
      </w:r>
      <w:r w:rsidR="00623893">
        <w:t>inga op</w:t>
      </w:r>
      <w:r w:rsidR="004C52B9">
        <w:t xml:space="preserve"> hoe ik samen met het veld de aanbevelingen ga uitwerken, ga ik eerst in op</w:t>
      </w:r>
      <w:r w:rsidR="003977B5">
        <w:t xml:space="preserve"> het doel van het wetsvoorstel en het algemene beeld dat uit het onderzoek naar voren komt</w:t>
      </w:r>
      <w:r>
        <w:t xml:space="preserve">. </w:t>
      </w:r>
      <w:r>
        <w:br/>
      </w:r>
    </w:p>
    <w:p w:rsidR="00DF6E0C" w:rsidP="00A77530" w:rsidRDefault="00DF6E0C" w14:paraId="5C18DE13" w14:textId="77777777">
      <w:pPr>
        <w:pStyle w:val="Default"/>
        <w:rPr>
          <w:rFonts w:ascii="Verdana" w:hAnsi="Verdana" w:eastAsia="DejaVu Sans" w:cs="Lohit Hindi"/>
          <w:b/>
          <w:bCs/>
          <w:sz w:val="18"/>
          <w:szCs w:val="18"/>
          <w:lang w:eastAsia="nl-NL"/>
          <w14:ligatures w14:val="none"/>
        </w:rPr>
      </w:pPr>
    </w:p>
    <w:p w:rsidRPr="00D9124E" w:rsidR="008F49AF" w:rsidP="00A77530" w:rsidRDefault="00A77530" w14:paraId="36C8573F" w14:textId="727DB86B">
      <w:pPr>
        <w:pStyle w:val="Default"/>
        <w:rPr>
          <w:rFonts w:ascii="Verdana" w:hAnsi="Verdana" w:eastAsia="DejaVu Sans" w:cs="Lohit Hindi"/>
          <w:b/>
          <w:bCs/>
          <w:sz w:val="18"/>
          <w:szCs w:val="18"/>
          <w:lang w:eastAsia="nl-NL"/>
          <w14:ligatures w14:val="none"/>
        </w:rPr>
      </w:pPr>
      <w:r w:rsidRPr="00D9124E">
        <w:rPr>
          <w:rFonts w:ascii="Verdana" w:hAnsi="Verdana" w:eastAsia="DejaVu Sans" w:cs="Lohit Hindi"/>
          <w:b/>
          <w:bCs/>
          <w:sz w:val="18"/>
          <w:szCs w:val="18"/>
          <w:lang w:eastAsia="nl-NL"/>
          <w14:ligatures w14:val="none"/>
        </w:rPr>
        <w:lastRenderedPageBreak/>
        <w:t>Algemeen</w:t>
      </w:r>
    </w:p>
    <w:p w:rsidRPr="003977B5" w:rsidR="008F49AF" w:rsidP="008F49AF" w:rsidRDefault="008F49AF" w14:paraId="07DF2AA6" w14:textId="6F59D5EE">
      <w:pPr>
        <w:rPr>
          <w:rFonts w:eastAsiaTheme="minorHAnsi" w:cstheme="minorBidi"/>
          <w:color w:val="auto"/>
          <w:kern w:val="2"/>
          <w:szCs w:val="22"/>
          <w:lang w:eastAsia="en-US"/>
          <w14:ligatures w14:val="standardContextual"/>
        </w:rPr>
      </w:pPr>
      <w:r>
        <w:t xml:space="preserve">Tijdens de zwangerschap kunnen </w:t>
      </w:r>
      <w:r w:rsidR="004C52B9">
        <w:t>risicofactoren</w:t>
      </w:r>
      <w:r w:rsidR="009F5031">
        <w:rPr>
          <w:rStyle w:val="Voetnootmarkering"/>
        </w:rPr>
        <w:footnoteReference w:id="3"/>
      </w:r>
      <w:r w:rsidRPr="003977B5" w:rsidR="004C52B9">
        <w:rPr>
          <w:rFonts w:eastAsiaTheme="minorHAnsi" w:cstheme="minorBidi"/>
          <w:color w:val="auto"/>
          <w:kern w:val="2"/>
          <w:szCs w:val="22"/>
          <w:lang w:eastAsia="en-US"/>
          <w14:ligatures w14:val="standardContextual"/>
        </w:rPr>
        <w:t xml:space="preserve"> </w:t>
      </w:r>
      <w:r>
        <w:t>optreden die een negatieve impact hebben op</w:t>
      </w:r>
      <w:r w:rsidRPr="00EF6983" w:rsidR="00EF6983">
        <w:t> </w:t>
      </w:r>
      <w:r w:rsidRPr="00E93C1E" w:rsidR="00EF6983">
        <w:t>de (aanstaande) ouders en</w:t>
      </w:r>
      <w:r w:rsidRPr="00EF6983" w:rsidR="00EF6983">
        <w:t> het ongeboren kind</w:t>
      </w:r>
      <w:r>
        <w:t xml:space="preserve">. Als een ongeboren kind blootstaat aan deze </w:t>
      </w:r>
      <w:r w:rsidR="00E17D6F">
        <w:t>factoren</w:t>
      </w:r>
      <w:r w:rsidRPr="003977B5" w:rsidR="00E17D6F">
        <w:rPr>
          <w:rFonts w:eastAsiaTheme="minorHAnsi" w:cstheme="minorBidi"/>
          <w:color w:val="auto"/>
          <w:kern w:val="2"/>
          <w:szCs w:val="22"/>
          <w:lang w:eastAsia="en-US"/>
          <w14:ligatures w14:val="standardContextual"/>
        </w:rPr>
        <w:t xml:space="preserve"> </w:t>
      </w:r>
      <w:r w:rsidRPr="003977B5">
        <w:rPr>
          <w:rFonts w:eastAsiaTheme="minorHAnsi" w:cstheme="minorBidi"/>
          <w:color w:val="auto"/>
          <w:kern w:val="2"/>
          <w:szCs w:val="22"/>
          <w:lang w:eastAsia="en-US"/>
          <w14:ligatures w14:val="standardContextual"/>
        </w:rPr>
        <w:t>kan dat de basis zijn voor gezondheidsachterstanden in het latere leven. Deze achterstanden in kansen op een lang en gezond leven en weerbaarheid hebben weinig te maken met erfelijke factoren. Maar alles met de omstandigheden van gezin en omgeving waarin kinderen zich ontwikkelen en opgroeien. Als een goede gezondheid en stimulerende omgeving</w:t>
      </w:r>
      <w:r w:rsidR="00584F1A">
        <w:rPr>
          <w:rFonts w:eastAsiaTheme="minorHAnsi" w:cstheme="minorBidi"/>
          <w:color w:val="auto"/>
          <w:kern w:val="2"/>
          <w:szCs w:val="22"/>
          <w:lang w:eastAsia="en-US"/>
          <w14:ligatures w14:val="standardContextual"/>
        </w:rPr>
        <w:t xml:space="preserve"> ontbreken</w:t>
      </w:r>
      <w:r w:rsidRPr="003977B5">
        <w:rPr>
          <w:rFonts w:eastAsiaTheme="minorHAnsi" w:cstheme="minorBidi"/>
          <w:color w:val="auto"/>
          <w:kern w:val="2"/>
          <w:szCs w:val="22"/>
          <w:lang w:eastAsia="en-US"/>
          <w14:ligatures w14:val="standardContextual"/>
        </w:rPr>
        <w:t xml:space="preserve"> tijdens de </w:t>
      </w:r>
      <w:r w:rsidR="00B17045">
        <w:rPr>
          <w:rFonts w:eastAsiaTheme="minorHAnsi" w:cstheme="minorBidi"/>
          <w:color w:val="auto"/>
          <w:kern w:val="2"/>
          <w:szCs w:val="22"/>
          <w:lang w:eastAsia="en-US"/>
          <w14:ligatures w14:val="standardContextual"/>
        </w:rPr>
        <w:t>zwangerschap</w:t>
      </w:r>
      <w:r w:rsidRPr="003977B5" w:rsidR="00B17045">
        <w:rPr>
          <w:rFonts w:eastAsiaTheme="minorHAnsi" w:cstheme="minorBidi"/>
          <w:color w:val="auto"/>
          <w:kern w:val="2"/>
          <w:szCs w:val="22"/>
          <w:lang w:eastAsia="en-US"/>
          <w14:ligatures w14:val="standardContextual"/>
        </w:rPr>
        <w:t xml:space="preserve"> </w:t>
      </w:r>
      <w:r w:rsidRPr="003977B5">
        <w:rPr>
          <w:rFonts w:eastAsiaTheme="minorHAnsi" w:cstheme="minorBidi"/>
          <w:color w:val="auto"/>
          <w:kern w:val="2"/>
          <w:szCs w:val="22"/>
          <w:lang w:eastAsia="en-US"/>
          <w14:ligatures w14:val="standardContextual"/>
        </w:rPr>
        <w:t>en de eerste levensjaren, heeft het kind later een grotere kans op onder meer fysieke en psychische problemen</w:t>
      </w:r>
      <w:r w:rsidR="005849AB">
        <w:rPr>
          <w:rFonts w:eastAsiaTheme="minorHAnsi" w:cstheme="minorBidi"/>
          <w:color w:val="auto"/>
          <w:kern w:val="2"/>
          <w:szCs w:val="22"/>
          <w:lang w:eastAsia="en-US"/>
          <w14:ligatures w14:val="standardContextual"/>
        </w:rPr>
        <w:t>.</w:t>
      </w:r>
      <w:r w:rsidR="004C52B9">
        <w:rPr>
          <w:rFonts w:eastAsiaTheme="minorHAnsi" w:cstheme="minorBidi"/>
          <w:color w:val="auto"/>
          <w:kern w:val="2"/>
          <w:szCs w:val="22"/>
          <w:lang w:eastAsia="en-US"/>
          <w14:ligatures w14:val="standardContextual"/>
        </w:rPr>
        <w:t xml:space="preserve"> </w:t>
      </w:r>
    </w:p>
    <w:p w:rsidRPr="003977B5" w:rsidR="008F49AF" w:rsidP="008F49AF" w:rsidRDefault="008F49AF" w14:paraId="1773DB54" w14:textId="77777777">
      <w:pPr>
        <w:rPr>
          <w:rFonts w:eastAsiaTheme="minorHAnsi" w:cstheme="minorBidi"/>
          <w:color w:val="auto"/>
          <w:kern w:val="2"/>
          <w:szCs w:val="22"/>
          <w:lang w:eastAsia="en-US"/>
          <w14:ligatures w14:val="standardContextual"/>
        </w:rPr>
      </w:pPr>
    </w:p>
    <w:p w:rsidRPr="000B5165" w:rsidR="008F49AF" w:rsidP="004C52B9" w:rsidRDefault="008F49AF" w14:paraId="119133F2" w14:textId="0854D34C">
      <w:pPr>
        <w:rPr>
          <w:rFonts w:cstheme="minorBidi"/>
          <w:color w:val="auto"/>
          <w:kern w:val="2"/>
          <w:szCs w:val="22"/>
        </w:rPr>
      </w:pPr>
      <w:r w:rsidRPr="004C52B9">
        <w:t>Voor een gezonde ontwikkeling van het kind is het dus cruciaal dat het kind een goede start maakt in de eerste 1000 dagen</w:t>
      </w:r>
      <w:r w:rsidRPr="004C52B9" w:rsidR="00BE68F1">
        <w:t xml:space="preserve"> en</w:t>
      </w:r>
      <w:r w:rsidRPr="004C52B9" w:rsidR="00584F1A">
        <w:t xml:space="preserve"> dat</w:t>
      </w:r>
      <w:r w:rsidRPr="004C52B9" w:rsidR="00BE68F1">
        <w:t xml:space="preserve"> </w:t>
      </w:r>
      <w:r w:rsidR="004C52B9">
        <w:t xml:space="preserve">de </w:t>
      </w:r>
      <w:r w:rsidRPr="004C52B9" w:rsidR="00BE68F1">
        <w:t>ouders waar nodig en gewenst worden ondersteund</w:t>
      </w:r>
      <w:r w:rsidR="004C52B9">
        <w:t xml:space="preserve"> bij het kunnen maken van deze goede start</w:t>
      </w:r>
      <w:r w:rsidRPr="004C52B9">
        <w:t xml:space="preserve">. </w:t>
      </w:r>
      <w:r w:rsidRPr="004C52B9" w:rsidR="00584F1A">
        <w:t>Het is belangrijk eventuele</w:t>
      </w:r>
      <w:r w:rsidRPr="004C52B9">
        <w:t xml:space="preserve"> risicofactoren al in een vroeg stadium te onderkennen en positief te beïnvloeden </w:t>
      </w:r>
      <w:r w:rsidRPr="004C52B9" w:rsidR="00584F1A">
        <w:t xml:space="preserve">en </w:t>
      </w:r>
      <w:r w:rsidRPr="004C52B9">
        <w:t>in</w:t>
      </w:r>
      <w:r w:rsidRPr="004C52B9" w:rsidR="00584F1A">
        <w:t xml:space="preserve"> te zetten</w:t>
      </w:r>
      <w:r w:rsidRPr="004C52B9">
        <w:t xml:space="preserve"> op het versterken van beschermende factoren. Om een gezonde ontwikkeling van het ongeboren kind te bevorderen en het ontstaan van gezondheids- en ontwikkelingsrisico</w:t>
      </w:r>
      <w:r w:rsidRPr="004C52B9" w:rsidR="005849AB">
        <w:t>’</w:t>
      </w:r>
      <w:r w:rsidRPr="004C52B9">
        <w:t>s voor het kind te beperken, is het van belang al tijdens de zwangerschap</w:t>
      </w:r>
      <w:r w:rsidRPr="004C52B9" w:rsidR="00584F1A">
        <w:t xml:space="preserve"> hulp en ondersteuning</w:t>
      </w:r>
      <w:r w:rsidRPr="004C52B9">
        <w:t xml:space="preserve"> te bieden. Met het voorstel tot wijziging van de Wet publieke gezondheid hebben gemeenten dan ook sinds juli 2022 de taak gekregen om een PHB JGZ aan te bieden aan zwangere vrouwen en gezinnen in een kwetsbare situatie in hun gemeente.</w:t>
      </w:r>
      <w:r>
        <w:t xml:space="preserve"> </w:t>
      </w:r>
      <w:r w:rsidRPr="00141376" w:rsidR="00B176B4">
        <w:rPr>
          <w:rFonts w:cstheme="minorBidi"/>
          <w:color w:val="auto"/>
          <w:kern w:val="2"/>
          <w:szCs w:val="22"/>
        </w:rPr>
        <w:t xml:space="preserve">Door </w:t>
      </w:r>
      <w:r w:rsidR="00B176B4">
        <w:rPr>
          <w:rFonts w:cstheme="minorBidi"/>
          <w:color w:val="auto"/>
          <w:kern w:val="2"/>
          <w:szCs w:val="22"/>
        </w:rPr>
        <w:t xml:space="preserve">wettelijk te verplichten dat gemeenten het PHB JGZ moeten laten uitvoeren door dezelfde organisatie die in hun gemeente ook het basistakenpakket jeugdgezondheidszorg uitvoert en de </w:t>
      </w:r>
      <w:r w:rsidRPr="004C52B9" w:rsidR="003F45BF">
        <w:t>betrokkenheid</w:t>
      </w:r>
      <w:r w:rsidRPr="004C52B9" w:rsidR="00141376">
        <w:t xml:space="preserve"> </w:t>
      </w:r>
      <w:r w:rsidRPr="004C52B9" w:rsidR="005849AB">
        <w:t xml:space="preserve">van de </w:t>
      </w:r>
      <w:r w:rsidRPr="004C52B9" w:rsidR="00141376">
        <w:t xml:space="preserve">jeugdgezondheidszorg naar voren te halen, wordt </w:t>
      </w:r>
      <w:r w:rsidR="00B176B4">
        <w:rPr>
          <w:rFonts w:cstheme="minorBidi"/>
          <w:color w:val="auto"/>
          <w:kern w:val="2"/>
          <w:szCs w:val="22"/>
        </w:rPr>
        <w:t>de samenwerking tussen zorgverleners uit zowel het medische domein, het sociale domein, het jeugddomein en het publieke gezondheidsdomein versterkt</w:t>
      </w:r>
      <w:r w:rsidRPr="004C52B9" w:rsidR="00B176B4">
        <w:t xml:space="preserve"> </w:t>
      </w:r>
      <w:r w:rsidR="00B176B4">
        <w:t xml:space="preserve">en wordt </w:t>
      </w:r>
      <w:r w:rsidRPr="004C52B9" w:rsidR="00141376">
        <w:t>gezorgd voor versterking van de ketenaanp</w:t>
      </w:r>
      <w:r w:rsidRPr="004C52B9" w:rsidR="005849AB">
        <w:t xml:space="preserve">ak in de </w:t>
      </w:r>
      <w:r w:rsidR="009F5031">
        <w:t>eerste</w:t>
      </w:r>
      <w:r w:rsidR="000B5165">
        <w:t xml:space="preserve"> </w:t>
      </w:r>
      <w:r w:rsidRPr="004C52B9" w:rsidR="005849AB">
        <w:t>1000 dagen</w:t>
      </w:r>
      <w:r w:rsidR="00B176B4">
        <w:t xml:space="preserve">. </w:t>
      </w:r>
      <w:r w:rsidRPr="004C52B9" w:rsidR="00141376">
        <w:t>D</w:t>
      </w:r>
      <w:r w:rsidR="00B176B4">
        <w:t>e</w:t>
      </w:r>
      <w:r w:rsidRPr="004C52B9" w:rsidR="00B17045">
        <w:t xml:space="preserve"> jeugdgezondheidszorg</w:t>
      </w:r>
      <w:r w:rsidR="00B176B4">
        <w:t>professional kan</w:t>
      </w:r>
      <w:r w:rsidRPr="004C52B9" w:rsidR="00B17045">
        <w:t xml:space="preserve"> </w:t>
      </w:r>
      <w:r w:rsidRPr="004C52B9" w:rsidR="00141376">
        <w:t xml:space="preserve">al tijdens de zwangerschap gerichte hulp en ondersteuning </w:t>
      </w:r>
      <w:r w:rsidRPr="004C52B9" w:rsidR="00B17045">
        <w:t xml:space="preserve">bieden </w:t>
      </w:r>
      <w:r w:rsidRPr="004C52B9" w:rsidR="00141376">
        <w:t xml:space="preserve">en een vertrouwensband met het gezin </w:t>
      </w:r>
      <w:r w:rsidRPr="004C52B9" w:rsidR="00B17045">
        <w:t>opbouwen</w:t>
      </w:r>
      <w:r w:rsidRPr="004C52B9" w:rsidR="00141376">
        <w:t xml:space="preserve">. Samen met de zwangere en haar gezin inventariseert de jeugdverpleegkundige welke hulp en ondersteuning </w:t>
      </w:r>
      <w:r w:rsidRPr="004C52B9" w:rsidR="00B17045">
        <w:t xml:space="preserve">nodig </w:t>
      </w:r>
      <w:r w:rsidRPr="004C52B9" w:rsidR="00141376">
        <w:t xml:space="preserve">is </w:t>
      </w:r>
      <w:r w:rsidR="00B176B4">
        <w:rPr>
          <w:rFonts w:cstheme="minorBidi"/>
          <w:color w:val="auto"/>
          <w:kern w:val="2"/>
          <w:szCs w:val="22"/>
        </w:rPr>
        <w:t xml:space="preserve">en kan vervolgens naar deze hulp doorverwijzen of zelf aanbieden, al naar gelang of en hoe het gemeentelijk aanbod is vormgegeven. </w:t>
      </w:r>
      <w:r w:rsidRPr="004C52B9">
        <w:br/>
      </w:r>
    </w:p>
    <w:p w:rsidRPr="000E41C5" w:rsidR="00A77530" w:rsidP="000E41C5" w:rsidRDefault="00A77530" w14:paraId="398EFDDF" w14:textId="71DE322F">
      <w:pPr>
        <w:pStyle w:val="Default"/>
        <w:spacing w:line="276" w:lineRule="auto"/>
        <w:rPr>
          <w:rFonts w:ascii="Verdana" w:hAnsi="Verdana" w:eastAsia="DejaVu Sans" w:cs="Lohit Hindi"/>
          <w:sz w:val="18"/>
          <w:szCs w:val="18"/>
          <w:lang w:eastAsia="nl-NL"/>
          <w14:ligatures w14:val="none"/>
        </w:rPr>
      </w:pPr>
      <w:r w:rsidRPr="000E41C5">
        <w:rPr>
          <w:rFonts w:ascii="Verdana" w:hAnsi="Verdana" w:eastAsia="DejaVu Sans" w:cs="Lohit Hindi"/>
          <w:sz w:val="18"/>
          <w:szCs w:val="18"/>
          <w:lang w:eastAsia="nl-NL"/>
          <w14:ligatures w14:val="none"/>
        </w:rPr>
        <w:t>Voor de wettelijke verankering van het PHB JGZ was tijdens de totstandkoming en implementatie van de wet breed draagvlak.</w:t>
      </w:r>
      <w:r w:rsidRPr="000E41C5" w:rsidR="00B17045">
        <w:rPr>
          <w:rFonts w:ascii="Verdana" w:hAnsi="Verdana" w:eastAsia="DejaVu Sans" w:cs="Lohit Hindi"/>
          <w:sz w:val="18"/>
          <w:szCs w:val="18"/>
          <w:lang w:eastAsia="nl-NL"/>
          <w14:ligatures w14:val="none"/>
        </w:rPr>
        <w:t xml:space="preserve"> Alle stakeholders zagen de potentiële</w:t>
      </w:r>
      <w:r w:rsidRPr="000E41C5">
        <w:rPr>
          <w:rFonts w:ascii="Verdana" w:hAnsi="Verdana" w:eastAsia="DejaVu Sans" w:cs="Lohit Hindi"/>
          <w:sz w:val="18"/>
          <w:szCs w:val="18"/>
          <w:lang w:eastAsia="nl-NL"/>
          <w14:ligatures w14:val="none"/>
        </w:rPr>
        <w:t xml:space="preserve"> meerwaarde van het PHB</w:t>
      </w:r>
      <w:r w:rsidRPr="000E41C5" w:rsidR="008974BF">
        <w:rPr>
          <w:rFonts w:ascii="Verdana" w:hAnsi="Verdana" w:eastAsia="DejaVu Sans" w:cs="Lohit Hindi"/>
          <w:sz w:val="18"/>
          <w:szCs w:val="18"/>
          <w:lang w:eastAsia="nl-NL"/>
          <w14:ligatures w14:val="none"/>
        </w:rPr>
        <w:t xml:space="preserve"> JGZ</w:t>
      </w:r>
      <w:r w:rsidRPr="000E41C5">
        <w:rPr>
          <w:rFonts w:ascii="Verdana" w:hAnsi="Verdana" w:eastAsia="DejaVu Sans" w:cs="Lohit Hindi"/>
          <w:sz w:val="18"/>
          <w:szCs w:val="18"/>
          <w:lang w:eastAsia="nl-NL"/>
          <w14:ligatures w14:val="none"/>
        </w:rPr>
        <w:t xml:space="preserve"> als preventieve interventie. Uit het nu gedane onderzoek blijkt dat er </w:t>
      </w:r>
      <w:r w:rsidRPr="000E41C5" w:rsidR="00E04BAA">
        <w:rPr>
          <w:rFonts w:ascii="Verdana" w:hAnsi="Verdana" w:eastAsia="DejaVu Sans" w:cs="Lohit Hindi"/>
          <w:sz w:val="18"/>
          <w:szCs w:val="18"/>
          <w:lang w:eastAsia="nl-NL"/>
          <w14:ligatures w14:val="none"/>
        </w:rPr>
        <w:t xml:space="preserve">nog steeds </w:t>
      </w:r>
      <w:r w:rsidRPr="000E41C5">
        <w:rPr>
          <w:rFonts w:ascii="Verdana" w:hAnsi="Verdana" w:eastAsia="DejaVu Sans" w:cs="Lohit Hindi"/>
          <w:sz w:val="18"/>
          <w:szCs w:val="18"/>
          <w:lang w:eastAsia="nl-NL"/>
          <w14:ligatures w14:val="none"/>
        </w:rPr>
        <w:t>breed draagvlak is voor het PHB JGZ en de preventieve werking die ervan uitgaat, door</w:t>
      </w:r>
      <w:r w:rsidRPr="000E41C5" w:rsidR="00B74376">
        <w:rPr>
          <w:rFonts w:ascii="Verdana" w:hAnsi="Verdana" w:eastAsia="DejaVu Sans" w:cs="Lohit Hindi"/>
          <w:sz w:val="18"/>
          <w:szCs w:val="18"/>
          <w:lang w:eastAsia="nl-NL"/>
          <w14:ligatures w14:val="none"/>
        </w:rPr>
        <w:t xml:space="preserve"> </w:t>
      </w:r>
      <w:r w:rsidRPr="000E41C5">
        <w:rPr>
          <w:rFonts w:ascii="Verdana" w:hAnsi="Verdana" w:eastAsia="DejaVu Sans" w:cs="Lohit Hindi"/>
          <w:sz w:val="18"/>
          <w:szCs w:val="18"/>
          <w:lang w:eastAsia="nl-NL"/>
          <w14:ligatures w14:val="none"/>
        </w:rPr>
        <w:t>het tijdig</w:t>
      </w:r>
      <w:r w:rsidRPr="000E41C5" w:rsidR="00B74376">
        <w:rPr>
          <w:rFonts w:ascii="Verdana" w:hAnsi="Verdana" w:eastAsia="DejaVu Sans" w:cs="Lohit Hindi"/>
          <w:sz w:val="18"/>
          <w:szCs w:val="18"/>
          <w:lang w:eastAsia="nl-NL"/>
          <w14:ligatures w14:val="none"/>
        </w:rPr>
        <w:t xml:space="preserve"> inzetten op</w:t>
      </w:r>
      <w:r w:rsidRPr="000E41C5">
        <w:rPr>
          <w:rFonts w:ascii="Verdana" w:hAnsi="Verdana" w:eastAsia="DejaVu Sans" w:cs="Lohit Hindi"/>
          <w:sz w:val="18"/>
          <w:szCs w:val="18"/>
          <w:lang w:eastAsia="nl-NL"/>
          <w14:ligatures w14:val="none"/>
        </w:rPr>
        <w:t xml:space="preserve"> bespreken en – waar nodig – aanpakken van kwetsbaarheden met de (aanstaande) ouders. </w:t>
      </w:r>
      <w:r w:rsidRPr="000E41C5" w:rsidR="00B17045">
        <w:rPr>
          <w:rFonts w:ascii="Verdana" w:hAnsi="Verdana" w:eastAsia="DejaVu Sans" w:cs="Lohit Hindi"/>
          <w:sz w:val="18"/>
          <w:szCs w:val="18"/>
          <w:lang w:eastAsia="nl-NL"/>
          <w14:ligatures w14:val="none"/>
        </w:rPr>
        <w:t>Alle gesprekspartners onderkennen d</w:t>
      </w:r>
      <w:r w:rsidRPr="000E41C5">
        <w:rPr>
          <w:rFonts w:ascii="Verdana" w:hAnsi="Verdana" w:eastAsia="DejaVu Sans" w:cs="Lohit Hindi"/>
          <w:sz w:val="18"/>
          <w:szCs w:val="18"/>
          <w:lang w:eastAsia="nl-NL"/>
          <w14:ligatures w14:val="none"/>
        </w:rPr>
        <w:t>e (potentiële) meerwaarde</w:t>
      </w:r>
      <w:r w:rsidRPr="000E41C5" w:rsidR="005849AB">
        <w:rPr>
          <w:rFonts w:ascii="Verdana" w:hAnsi="Verdana" w:eastAsia="DejaVu Sans" w:cs="Lohit Hindi"/>
          <w:sz w:val="18"/>
          <w:szCs w:val="18"/>
          <w:lang w:eastAsia="nl-NL"/>
          <w14:ligatures w14:val="none"/>
        </w:rPr>
        <w:t>, z</w:t>
      </w:r>
      <w:r w:rsidRPr="000E41C5">
        <w:rPr>
          <w:rFonts w:ascii="Verdana" w:hAnsi="Verdana" w:eastAsia="DejaVu Sans" w:cs="Lohit Hindi"/>
          <w:sz w:val="18"/>
          <w:szCs w:val="18"/>
          <w:lang w:eastAsia="nl-NL"/>
          <w14:ligatures w14:val="none"/>
        </w:rPr>
        <w:t xml:space="preserve">owel voor het ongeboren kind, het gezin </w:t>
      </w:r>
      <w:r w:rsidRPr="000E41C5" w:rsidR="00B17045">
        <w:rPr>
          <w:rFonts w:ascii="Verdana" w:hAnsi="Verdana" w:eastAsia="DejaVu Sans" w:cs="Lohit Hindi"/>
          <w:sz w:val="18"/>
          <w:szCs w:val="18"/>
          <w:lang w:eastAsia="nl-NL"/>
          <w14:ligatures w14:val="none"/>
        </w:rPr>
        <w:t xml:space="preserve">als </w:t>
      </w:r>
      <w:r w:rsidRPr="000E41C5">
        <w:rPr>
          <w:rFonts w:ascii="Verdana" w:hAnsi="Verdana" w:eastAsia="DejaVu Sans" w:cs="Lohit Hindi"/>
          <w:sz w:val="18"/>
          <w:szCs w:val="18"/>
          <w:lang w:eastAsia="nl-NL"/>
          <w14:ligatures w14:val="none"/>
        </w:rPr>
        <w:t xml:space="preserve">de samenleving. </w:t>
      </w:r>
    </w:p>
    <w:p w:rsidRPr="000E41C5" w:rsidR="00A77530" w:rsidP="00A77530" w:rsidRDefault="00A77530" w14:paraId="3DAE1546" w14:textId="77777777">
      <w:pPr>
        <w:pStyle w:val="Default"/>
        <w:rPr>
          <w:rFonts w:ascii="Verdana" w:hAnsi="Verdana" w:eastAsia="DejaVu Sans" w:cs="Lohit Hindi"/>
          <w:sz w:val="18"/>
          <w:szCs w:val="18"/>
          <w:lang w:eastAsia="nl-NL"/>
          <w14:ligatures w14:val="none"/>
        </w:rPr>
      </w:pPr>
    </w:p>
    <w:p w:rsidR="00A77530" w:rsidP="00A77530" w:rsidRDefault="00B176B4" w14:paraId="08DED2E7" w14:textId="4DEE71B2">
      <w:r>
        <w:t xml:space="preserve">Uit het onderzoek blijkt dat </w:t>
      </w:r>
      <w:r w:rsidRPr="00BA4325" w:rsidR="00A77530">
        <w:t>al meerdere positieve ontwikkelingen</w:t>
      </w:r>
      <w:r>
        <w:t xml:space="preserve"> te zien zijn</w:t>
      </w:r>
      <w:r w:rsidRPr="00BA4325" w:rsidR="00A77530">
        <w:t>.</w:t>
      </w:r>
      <w:r w:rsidR="00B74376">
        <w:t xml:space="preserve"> Zo geven </w:t>
      </w:r>
      <w:r w:rsidRPr="00BA4325">
        <w:t>professionals</w:t>
      </w:r>
      <w:r w:rsidRPr="00BA4325" w:rsidR="003F45BF">
        <w:t xml:space="preserve"> </w:t>
      </w:r>
      <w:r w:rsidR="003F45BF">
        <w:t xml:space="preserve">aan </w:t>
      </w:r>
      <w:r w:rsidRPr="00BA4325" w:rsidR="003F45BF">
        <w:t xml:space="preserve">te ervaren dat ouders in het algemeen positief reageren op het PHB JGZ. </w:t>
      </w:r>
      <w:r w:rsidR="00B74376">
        <w:t xml:space="preserve">Ook ervaren </w:t>
      </w:r>
      <w:r w:rsidRPr="00BA4325" w:rsidR="00A77530">
        <w:t>JGZ-professionals</w:t>
      </w:r>
      <w:r w:rsidR="003F45BF">
        <w:t xml:space="preserve"> </w:t>
      </w:r>
      <w:r w:rsidRPr="00BA4325" w:rsidR="00A77530">
        <w:t>over het algemeen dat</w:t>
      </w:r>
      <w:r>
        <w:t xml:space="preserve"> zij door</w:t>
      </w:r>
      <w:r w:rsidRPr="00BA4325" w:rsidR="00A77530">
        <w:t xml:space="preserve"> het PHB </w:t>
      </w:r>
      <w:r w:rsidR="00E93C1E">
        <w:t xml:space="preserve">JGZ </w:t>
      </w:r>
      <w:r w:rsidRPr="00BA4325" w:rsidR="00A77530">
        <w:t xml:space="preserve">eerder zicht hebben op </w:t>
      </w:r>
      <w:proofErr w:type="spellStart"/>
      <w:r w:rsidRPr="00BA4325" w:rsidR="00A77530">
        <w:t>zwangeren</w:t>
      </w:r>
      <w:proofErr w:type="spellEnd"/>
      <w:r w:rsidRPr="00BA4325" w:rsidR="00A77530">
        <w:t xml:space="preserve"> in een kwetsbare situatie en zijn </w:t>
      </w:r>
      <w:r w:rsidRPr="00BA4325" w:rsidR="00A77530">
        <w:lastRenderedPageBreak/>
        <w:t xml:space="preserve">zij </w:t>
      </w:r>
      <w:r w:rsidR="00B74376">
        <w:t>met</w:t>
      </w:r>
      <w:r w:rsidRPr="00BA4325" w:rsidR="00B74376">
        <w:t xml:space="preserve"> </w:t>
      </w:r>
      <w:r w:rsidRPr="00BA4325" w:rsidR="00A77530">
        <w:t>het PHB JGZ in staat om beter in ondersteuningsbehoeften te voorzien. Dit geldt ook voor professionals die al een PHB</w:t>
      </w:r>
      <w:r w:rsidR="00E93C1E">
        <w:t xml:space="preserve"> JGZ</w:t>
      </w:r>
      <w:r w:rsidRPr="00BA4325" w:rsidR="00A77530">
        <w:t xml:space="preserve"> uitvoerden. Zij zien dat de wetswijziging momentum heeft gecreëerd waardoor het PHB</w:t>
      </w:r>
      <w:r w:rsidR="00E93C1E">
        <w:t xml:space="preserve"> JGZ</w:t>
      </w:r>
      <w:r w:rsidRPr="00BA4325" w:rsidR="00A77530">
        <w:t xml:space="preserve"> als interventie bekender is geworden en meer wordt aangeboden en uitgevoerd. Het PHB </w:t>
      </w:r>
      <w:r w:rsidR="00E93C1E">
        <w:t xml:space="preserve">JGZ </w:t>
      </w:r>
      <w:r w:rsidRPr="00BA4325" w:rsidR="00A77530">
        <w:t xml:space="preserve">blijkt in sommige regio’s ook een belangrijke aanjager van de samenwerking tussen met name jeugdverpleegkundigen en eerstelijns verloskundigen. </w:t>
      </w:r>
      <w:r w:rsidR="00A77530">
        <w:t>Naast positieve punten blijken uit het onderzoek ook knelpunten bij de uitvoering van het PHB JGZ. Zo is het PHB JGZ nog niet in iedere gemeente ingevoerd, worden er meerdere belemmeringen ervaren in de aanmeldprocedure en bestaat er zowel bij verloskundigen als JGZ</w:t>
      </w:r>
      <w:r w:rsidR="009F5031">
        <w:t>-</w:t>
      </w:r>
      <w:r w:rsidR="00A77530">
        <w:t>verpleegkundigen handelingsverlegenheid. Hier</w:t>
      </w:r>
      <w:r w:rsidR="0025528E">
        <w:t xml:space="preserve">onder wordt ingegaan op de aanbevelingen van AEF </w:t>
      </w:r>
      <w:r w:rsidR="00A77530">
        <w:t xml:space="preserve">en wordt aangegeven </w:t>
      </w:r>
      <w:r w:rsidR="005849AB">
        <w:t xml:space="preserve">op welke wijze, in overleg en samenwerking met de veldpartijen, </w:t>
      </w:r>
      <w:r w:rsidR="00A77530">
        <w:t xml:space="preserve">hieraan </w:t>
      </w:r>
      <w:r>
        <w:t>gevolg wordt gegeven</w:t>
      </w:r>
      <w:r w:rsidR="00A77530">
        <w:t>.</w:t>
      </w:r>
    </w:p>
    <w:p w:rsidRPr="00773D67" w:rsidR="00A77530" w:rsidP="00A77530" w:rsidRDefault="00A77530" w14:paraId="674DAE59" w14:textId="77777777">
      <w:pPr>
        <w:rPr>
          <w:b/>
          <w:bCs/>
        </w:rPr>
      </w:pPr>
    </w:p>
    <w:p w:rsidRPr="00773D67" w:rsidR="006A2CEF" w:rsidP="00A77530" w:rsidRDefault="00A77530" w14:paraId="155701D5" w14:textId="77777777">
      <w:pPr>
        <w:rPr>
          <w:b/>
          <w:bCs/>
        </w:rPr>
      </w:pPr>
      <w:bookmarkStart w:name="_Hlk166768632" w:id="0"/>
      <w:r w:rsidRPr="00773D67">
        <w:rPr>
          <w:b/>
          <w:bCs/>
        </w:rPr>
        <w:t>Aanbevelingen</w:t>
      </w:r>
    </w:p>
    <w:p w:rsidRPr="00D20B9C" w:rsidR="00A77530" w:rsidP="00A77530" w:rsidRDefault="00A77530" w14:paraId="0EC26FE0" w14:textId="2AF04909">
      <w:pPr>
        <w:rPr>
          <w:rFonts w:cstheme="minorBidi"/>
          <w:b/>
          <w:bCs/>
          <w:color w:val="auto"/>
          <w:kern w:val="2"/>
          <w:szCs w:val="22"/>
        </w:rPr>
      </w:pPr>
      <w:r>
        <w:rPr>
          <w:rFonts w:cstheme="minorBidi"/>
          <w:b/>
          <w:bCs/>
          <w:color w:val="auto"/>
          <w:kern w:val="2"/>
          <w:szCs w:val="22"/>
        </w:rPr>
        <w:br/>
      </w:r>
      <w:r w:rsidRPr="006A2CEF">
        <w:rPr>
          <w:rFonts w:cstheme="minorBidi"/>
          <w:i/>
          <w:iCs/>
          <w:color w:val="auto"/>
          <w:kern w:val="2"/>
          <w:szCs w:val="22"/>
        </w:rPr>
        <w:t>Aanbeveling 1</w:t>
      </w:r>
      <w:r w:rsidR="005225E2">
        <w:rPr>
          <w:rFonts w:cstheme="minorBidi"/>
          <w:i/>
          <w:iCs/>
          <w:color w:val="auto"/>
          <w:kern w:val="2"/>
          <w:szCs w:val="22"/>
        </w:rPr>
        <w:t xml:space="preserve">: </w:t>
      </w:r>
      <w:r w:rsidRPr="006A2CEF">
        <w:rPr>
          <w:rFonts w:cstheme="minorBidi"/>
          <w:i/>
          <w:iCs/>
          <w:color w:val="auto"/>
          <w:kern w:val="2"/>
          <w:szCs w:val="22"/>
        </w:rPr>
        <w:t xml:space="preserve">Zet in op landelijke dekking van het PHB </w:t>
      </w:r>
      <w:r w:rsidR="0099007C">
        <w:rPr>
          <w:rFonts w:cstheme="minorBidi"/>
          <w:i/>
          <w:iCs/>
          <w:color w:val="auto"/>
          <w:kern w:val="2"/>
          <w:szCs w:val="22"/>
        </w:rPr>
        <w:t>JGZ</w:t>
      </w:r>
    </w:p>
    <w:p w:rsidRPr="00B65AC1" w:rsidR="00A77530" w:rsidP="00A77530" w:rsidRDefault="00A77530" w14:paraId="544AA783" w14:textId="71AFD8DE">
      <w:pPr>
        <w:rPr>
          <w:rFonts w:eastAsiaTheme="minorHAnsi" w:cstheme="minorBidi"/>
          <w:color w:val="auto"/>
          <w:kern w:val="2"/>
          <w:szCs w:val="22"/>
          <w:lang w:eastAsia="en-US"/>
          <w14:ligatures w14:val="standardContextual"/>
        </w:rPr>
      </w:pPr>
      <w:r w:rsidRPr="00B65AC1">
        <w:rPr>
          <w:rFonts w:eastAsiaTheme="minorHAnsi" w:cstheme="minorBidi"/>
          <w:color w:val="auto"/>
          <w:kern w:val="2"/>
          <w:szCs w:val="22"/>
          <w:lang w:eastAsia="en-US"/>
          <w14:ligatures w14:val="standardContextual"/>
        </w:rPr>
        <w:t>Het PHB</w:t>
      </w:r>
      <w:r w:rsidR="00E93C1E">
        <w:rPr>
          <w:rFonts w:eastAsiaTheme="minorHAnsi" w:cstheme="minorBidi"/>
          <w:color w:val="auto"/>
          <w:kern w:val="2"/>
          <w:szCs w:val="22"/>
          <w:lang w:eastAsia="en-US"/>
          <w14:ligatures w14:val="standardContextual"/>
        </w:rPr>
        <w:t xml:space="preserve"> JGZ</w:t>
      </w:r>
      <w:r w:rsidRPr="00B65AC1">
        <w:rPr>
          <w:rFonts w:eastAsiaTheme="minorHAnsi" w:cstheme="minorBidi"/>
          <w:color w:val="auto"/>
          <w:kern w:val="2"/>
          <w:szCs w:val="22"/>
          <w:lang w:eastAsia="en-US"/>
          <w14:ligatures w14:val="standardContextual"/>
        </w:rPr>
        <w:t xml:space="preserve"> is in een aanzienlijk aantal gemeenten geïmplementeerd, maar nog niet overal. Het is van belang dat in de resterende gemeenten zonder PHB </w:t>
      </w:r>
      <w:r w:rsidR="00E93C1E">
        <w:rPr>
          <w:rFonts w:eastAsiaTheme="minorHAnsi" w:cstheme="minorBidi"/>
          <w:color w:val="auto"/>
          <w:kern w:val="2"/>
          <w:szCs w:val="22"/>
          <w:lang w:eastAsia="en-US"/>
          <w14:ligatures w14:val="standardContextual"/>
        </w:rPr>
        <w:t xml:space="preserve">JGZ </w:t>
      </w:r>
      <w:r w:rsidRPr="00B65AC1">
        <w:rPr>
          <w:rFonts w:eastAsiaTheme="minorHAnsi" w:cstheme="minorBidi"/>
          <w:color w:val="auto"/>
          <w:kern w:val="2"/>
          <w:szCs w:val="22"/>
          <w:lang w:eastAsia="en-US"/>
          <w14:ligatures w14:val="standardContextual"/>
        </w:rPr>
        <w:t>zo snel mogelijk uitvoering wordt gegeven aan hun wettelijke taak.</w:t>
      </w:r>
      <w:r w:rsidRPr="00B65AC1" w:rsidR="006A2CEF">
        <w:rPr>
          <w:rFonts w:eastAsiaTheme="minorHAnsi" w:cstheme="minorBidi"/>
          <w:color w:val="auto"/>
          <w:kern w:val="2"/>
          <w:szCs w:val="22"/>
          <w:lang w:eastAsia="en-US"/>
          <w14:ligatures w14:val="standardContextual"/>
        </w:rPr>
        <w:t xml:space="preserve"> Zo krijgen ouders die dit nodig hebben overal hetzelfde aanbod.</w:t>
      </w:r>
    </w:p>
    <w:p w:rsidR="009248B1" w:rsidP="00C348D3" w:rsidRDefault="005225E2" w14:paraId="3B893CE3" w14:textId="37EB9E0A">
      <w:pPr>
        <w:rPr>
          <w:rFonts w:cstheme="minorBidi"/>
          <w:kern w:val="2"/>
        </w:rPr>
      </w:pPr>
      <w:r w:rsidRPr="00B65AC1">
        <w:rPr>
          <w:rFonts w:cstheme="minorBidi"/>
          <w:color w:val="auto"/>
          <w:kern w:val="2"/>
          <w:szCs w:val="22"/>
        </w:rPr>
        <w:br/>
      </w:r>
      <w:r w:rsidRPr="00B65AC1" w:rsidR="00A77530">
        <w:rPr>
          <w:rFonts w:cstheme="minorBidi"/>
          <w:color w:val="auto"/>
          <w:kern w:val="2"/>
          <w:szCs w:val="22"/>
        </w:rPr>
        <w:t xml:space="preserve">Actie: </w:t>
      </w:r>
      <w:r w:rsidRPr="00B65AC1" w:rsidR="00FB443B">
        <w:rPr>
          <w:rFonts w:cstheme="minorBidi"/>
          <w:color w:val="auto"/>
          <w:kern w:val="2"/>
          <w:szCs w:val="22"/>
        </w:rPr>
        <w:t xml:space="preserve">In overleg met </w:t>
      </w:r>
      <w:r w:rsidR="009248B1">
        <w:rPr>
          <w:rFonts w:cstheme="minorBidi"/>
          <w:color w:val="auto"/>
          <w:kern w:val="2"/>
          <w:szCs w:val="22"/>
        </w:rPr>
        <w:t xml:space="preserve">gemeenten gaat de </w:t>
      </w:r>
      <w:r w:rsidRPr="00B65AC1" w:rsidR="00FB443B">
        <w:rPr>
          <w:rFonts w:cstheme="minorBidi"/>
          <w:color w:val="auto"/>
          <w:kern w:val="2"/>
          <w:szCs w:val="22"/>
        </w:rPr>
        <w:t xml:space="preserve">Vereniging </w:t>
      </w:r>
      <w:r w:rsidR="009F5031">
        <w:rPr>
          <w:rFonts w:cstheme="minorBidi"/>
          <w:color w:val="auto"/>
          <w:kern w:val="2"/>
          <w:szCs w:val="22"/>
        </w:rPr>
        <w:t xml:space="preserve">van </w:t>
      </w:r>
      <w:r w:rsidRPr="00B65AC1" w:rsidR="00FB443B">
        <w:rPr>
          <w:rFonts w:cstheme="minorBidi"/>
          <w:color w:val="auto"/>
          <w:kern w:val="2"/>
          <w:szCs w:val="22"/>
        </w:rPr>
        <w:t xml:space="preserve">Nederlandse Gemeenten (VNG) het belang van de wettelijke taak van gemeenten van het aanbieden van het PHB JGZ aan ouders in een kwetsbare positie onder de aandacht brengen van </w:t>
      </w:r>
      <w:r w:rsidR="00B176B4">
        <w:rPr>
          <w:rFonts w:cstheme="minorBidi"/>
          <w:color w:val="auto"/>
          <w:kern w:val="2"/>
          <w:szCs w:val="22"/>
        </w:rPr>
        <w:t>haar</w:t>
      </w:r>
      <w:r w:rsidRPr="00B65AC1" w:rsidR="00B176B4">
        <w:rPr>
          <w:rFonts w:cstheme="minorBidi"/>
          <w:color w:val="auto"/>
          <w:kern w:val="2"/>
          <w:szCs w:val="22"/>
        </w:rPr>
        <w:t xml:space="preserve"> </w:t>
      </w:r>
      <w:r w:rsidRPr="00B65AC1" w:rsidR="00FB443B">
        <w:rPr>
          <w:rFonts w:cstheme="minorBidi"/>
          <w:color w:val="auto"/>
          <w:kern w:val="2"/>
          <w:szCs w:val="22"/>
        </w:rPr>
        <w:t>leden.</w:t>
      </w:r>
      <w:r w:rsidRPr="00B65AC1" w:rsidR="00F708C6">
        <w:rPr>
          <w:rFonts w:cstheme="minorBidi"/>
          <w:color w:val="auto"/>
          <w:kern w:val="2"/>
          <w:szCs w:val="22"/>
        </w:rPr>
        <w:t xml:space="preserve"> </w:t>
      </w:r>
      <w:r w:rsidR="00B74376">
        <w:rPr>
          <w:rFonts w:cstheme="minorBidi"/>
          <w:color w:val="auto"/>
          <w:kern w:val="2"/>
          <w:szCs w:val="22"/>
        </w:rPr>
        <w:t xml:space="preserve">Ook </w:t>
      </w:r>
      <w:r w:rsidR="009248B1">
        <w:rPr>
          <w:rFonts w:cstheme="minorBidi"/>
          <w:color w:val="auto"/>
          <w:kern w:val="2"/>
          <w:szCs w:val="22"/>
        </w:rPr>
        <w:t xml:space="preserve">is van belang te achterhalen in welke gemeenten de implementatie nog niet of niet voldoende is geïmplementeerd en wat nodig is om dit verder te brengen. </w:t>
      </w:r>
      <w:r w:rsidR="009248B1">
        <w:rPr>
          <w:rFonts w:cstheme="minorBidi"/>
          <w:kern w:val="2"/>
        </w:rPr>
        <w:t xml:space="preserve">Het </w:t>
      </w:r>
      <w:r w:rsidRPr="00D20B9C" w:rsidR="009248B1">
        <w:rPr>
          <w:rFonts w:cstheme="minorBidi"/>
          <w:kern w:val="2"/>
        </w:rPr>
        <w:t>NCJ</w:t>
      </w:r>
      <w:r w:rsidR="009248B1">
        <w:rPr>
          <w:rFonts w:cstheme="minorBidi"/>
          <w:kern w:val="2"/>
        </w:rPr>
        <w:t xml:space="preserve"> heeft </w:t>
      </w:r>
      <w:r w:rsidRPr="00D20B9C" w:rsidR="009248B1">
        <w:rPr>
          <w:rFonts w:cstheme="minorBidi"/>
          <w:kern w:val="2"/>
        </w:rPr>
        <w:t xml:space="preserve">in </w:t>
      </w:r>
      <w:r w:rsidR="0025528E">
        <w:rPr>
          <w:rFonts w:cstheme="minorBidi"/>
          <w:kern w:val="2"/>
        </w:rPr>
        <w:t>de</w:t>
      </w:r>
      <w:r w:rsidR="009248B1">
        <w:rPr>
          <w:rFonts w:cstheme="minorBidi"/>
          <w:kern w:val="2"/>
        </w:rPr>
        <w:t xml:space="preserve"> </w:t>
      </w:r>
      <w:r w:rsidRPr="00D20B9C" w:rsidR="009248B1">
        <w:rPr>
          <w:rFonts w:cstheme="minorBidi"/>
          <w:kern w:val="2"/>
        </w:rPr>
        <w:t>monitor PHB</w:t>
      </w:r>
      <w:r w:rsidR="000B5165">
        <w:rPr>
          <w:rFonts w:cstheme="minorBidi"/>
          <w:kern w:val="2"/>
        </w:rPr>
        <w:t xml:space="preserve"> </w:t>
      </w:r>
      <w:r w:rsidR="009248B1">
        <w:rPr>
          <w:rFonts w:cstheme="minorBidi"/>
          <w:kern w:val="2"/>
        </w:rPr>
        <w:t>JGZ</w:t>
      </w:r>
      <w:r w:rsidR="00B74376">
        <w:rPr>
          <w:rFonts w:cstheme="minorBidi"/>
          <w:kern w:val="2"/>
        </w:rPr>
        <w:t>, die is uitgezet in het voorjaar van 2024,</w:t>
      </w:r>
      <w:r w:rsidRPr="00D20B9C" w:rsidR="00B74376">
        <w:rPr>
          <w:rFonts w:cstheme="minorBidi"/>
          <w:kern w:val="2"/>
        </w:rPr>
        <w:t xml:space="preserve"> </w:t>
      </w:r>
      <w:r w:rsidR="009248B1">
        <w:rPr>
          <w:rFonts w:cstheme="minorBidi"/>
          <w:kern w:val="2"/>
        </w:rPr>
        <w:t>aan JGZ-uitvoeringsorganisaties</w:t>
      </w:r>
      <w:r w:rsidR="0025528E">
        <w:rPr>
          <w:rFonts w:cstheme="minorBidi"/>
          <w:kern w:val="2"/>
        </w:rPr>
        <w:t xml:space="preserve"> </w:t>
      </w:r>
      <w:r w:rsidRPr="00D20B9C" w:rsidR="009248B1">
        <w:rPr>
          <w:rFonts w:cstheme="minorBidi"/>
          <w:kern w:val="2"/>
        </w:rPr>
        <w:t xml:space="preserve">gevraagd </w:t>
      </w:r>
      <w:r w:rsidR="00B74376">
        <w:rPr>
          <w:rFonts w:cstheme="minorBidi"/>
          <w:kern w:val="2"/>
        </w:rPr>
        <w:t xml:space="preserve">of </w:t>
      </w:r>
      <w:r w:rsidR="009248B1">
        <w:rPr>
          <w:rFonts w:cstheme="minorBidi"/>
          <w:kern w:val="2"/>
        </w:rPr>
        <w:t>het</w:t>
      </w:r>
      <w:r w:rsidRPr="00D20B9C" w:rsidR="009248B1">
        <w:rPr>
          <w:rFonts w:cstheme="minorBidi"/>
          <w:kern w:val="2"/>
        </w:rPr>
        <w:t xml:space="preserve"> PHB</w:t>
      </w:r>
      <w:r w:rsidR="00E93C1E">
        <w:rPr>
          <w:rFonts w:cstheme="minorBidi"/>
          <w:kern w:val="2"/>
        </w:rPr>
        <w:t xml:space="preserve"> JGZ</w:t>
      </w:r>
      <w:r w:rsidRPr="00D20B9C" w:rsidR="009248B1">
        <w:rPr>
          <w:rFonts w:cstheme="minorBidi"/>
          <w:kern w:val="2"/>
        </w:rPr>
        <w:t xml:space="preserve"> is geïmplementeerd.</w:t>
      </w:r>
      <w:r w:rsidR="009248B1">
        <w:rPr>
          <w:rFonts w:cstheme="minorBidi"/>
          <w:kern w:val="2"/>
        </w:rPr>
        <w:t xml:space="preserve"> </w:t>
      </w:r>
      <w:r w:rsidR="00C348D3">
        <w:rPr>
          <w:rFonts w:cstheme="minorBidi"/>
          <w:kern w:val="2"/>
        </w:rPr>
        <w:t xml:space="preserve">Met JGZ-uitvoeringsorganisaties die de monitor niet hebben ingevuld wordt contact gelegd om te </w:t>
      </w:r>
      <w:r w:rsidR="00B74376">
        <w:rPr>
          <w:rFonts w:cstheme="minorBidi"/>
          <w:kern w:val="2"/>
        </w:rPr>
        <w:t xml:space="preserve">vragen </w:t>
      </w:r>
      <w:r w:rsidR="00C348D3">
        <w:rPr>
          <w:rFonts w:cstheme="minorBidi"/>
          <w:kern w:val="2"/>
        </w:rPr>
        <w:t xml:space="preserve">of het PHB JGZ bij hen is geïmplementeerd. </w:t>
      </w:r>
      <w:r w:rsidR="002E63D2">
        <w:rPr>
          <w:rFonts w:cstheme="minorBidi"/>
          <w:kern w:val="2"/>
        </w:rPr>
        <w:t xml:space="preserve">Aan </w:t>
      </w:r>
      <w:r w:rsidR="00C2174C">
        <w:rPr>
          <w:rFonts w:cstheme="minorBidi"/>
          <w:kern w:val="2"/>
        </w:rPr>
        <w:t>JGZ-uitvoeringsorganisaties waarvan uit de monitor</w:t>
      </w:r>
      <w:r w:rsidR="000B5165">
        <w:rPr>
          <w:rFonts w:cstheme="minorBidi"/>
          <w:kern w:val="2"/>
        </w:rPr>
        <w:t xml:space="preserve"> of het hiervoor genoemde contact</w:t>
      </w:r>
      <w:r w:rsidR="00C2174C">
        <w:rPr>
          <w:rFonts w:cstheme="minorBidi"/>
          <w:kern w:val="2"/>
        </w:rPr>
        <w:t xml:space="preserve"> is gebleken dat zij in een gemeente werkzaam zijn waar het PHB JGZ nog niet is geïmplementeerd wordt</w:t>
      </w:r>
      <w:r w:rsidR="002E63D2">
        <w:rPr>
          <w:rFonts w:cstheme="minorBidi"/>
          <w:kern w:val="2"/>
        </w:rPr>
        <w:t xml:space="preserve"> gevraagd</w:t>
      </w:r>
      <w:r w:rsidR="00C2174C">
        <w:rPr>
          <w:rFonts w:cstheme="minorBidi"/>
          <w:kern w:val="2"/>
        </w:rPr>
        <w:t xml:space="preserve"> </w:t>
      </w:r>
      <w:r w:rsidR="009248B1">
        <w:rPr>
          <w:rFonts w:cstheme="minorBidi"/>
          <w:kern w:val="2"/>
        </w:rPr>
        <w:t>wat volgens hen nodig is om het PHB</w:t>
      </w:r>
      <w:r w:rsidR="00E93C1E">
        <w:rPr>
          <w:rFonts w:cstheme="minorBidi"/>
          <w:kern w:val="2"/>
        </w:rPr>
        <w:t xml:space="preserve"> </w:t>
      </w:r>
      <w:r w:rsidR="009248B1">
        <w:rPr>
          <w:rFonts w:cstheme="minorBidi"/>
          <w:kern w:val="2"/>
        </w:rPr>
        <w:t>JGZ te implementeren.</w:t>
      </w:r>
      <w:r w:rsidR="00C348D3">
        <w:rPr>
          <w:rFonts w:cstheme="minorBidi"/>
          <w:kern w:val="2"/>
        </w:rPr>
        <w:t xml:space="preserve"> Deze informatie kan vervolgens worden meegenomen in een lokale coalitie of worden gedeeld met de betreffende gemeente(n).</w:t>
      </w:r>
      <w:r w:rsidR="009248B1">
        <w:rPr>
          <w:rFonts w:cstheme="minorBidi"/>
          <w:kern w:val="2"/>
        </w:rPr>
        <w:t xml:space="preserve"> Voorts kan </w:t>
      </w:r>
      <w:proofErr w:type="spellStart"/>
      <w:r w:rsidRPr="00C348D3" w:rsidR="009248B1">
        <w:rPr>
          <w:rFonts w:cstheme="minorBidi"/>
          <w:kern w:val="2"/>
        </w:rPr>
        <w:t>Pharos</w:t>
      </w:r>
      <w:proofErr w:type="spellEnd"/>
      <w:r w:rsidRPr="00C348D3" w:rsidR="009248B1">
        <w:rPr>
          <w:rFonts w:cstheme="minorBidi"/>
          <w:kern w:val="2"/>
        </w:rPr>
        <w:t xml:space="preserve"> in het kader van hun ondersteuning van lokale coalities kansrijke start </w:t>
      </w:r>
      <w:r w:rsidR="00C348D3">
        <w:rPr>
          <w:rFonts w:cstheme="minorBidi"/>
          <w:kern w:val="2"/>
        </w:rPr>
        <w:t xml:space="preserve">daar waar nodig </w:t>
      </w:r>
      <w:r w:rsidRPr="001476E1" w:rsidR="009248B1">
        <w:rPr>
          <w:rFonts w:cstheme="minorBidi"/>
          <w:kern w:val="2"/>
        </w:rPr>
        <w:t xml:space="preserve">ondersteunen </w:t>
      </w:r>
      <w:r w:rsidR="009248B1">
        <w:rPr>
          <w:rFonts w:cstheme="minorBidi"/>
          <w:kern w:val="2"/>
        </w:rPr>
        <w:t>bij het</w:t>
      </w:r>
      <w:r w:rsidRPr="001476E1" w:rsidR="009248B1">
        <w:rPr>
          <w:rFonts w:cstheme="minorBidi"/>
          <w:kern w:val="2"/>
        </w:rPr>
        <w:t xml:space="preserve"> proces van </w:t>
      </w:r>
      <w:r w:rsidR="00C348D3">
        <w:rPr>
          <w:rFonts w:cstheme="minorBidi"/>
          <w:kern w:val="2"/>
        </w:rPr>
        <w:t xml:space="preserve">het </w:t>
      </w:r>
      <w:r w:rsidRPr="001476E1" w:rsidR="009248B1">
        <w:rPr>
          <w:rFonts w:cstheme="minorBidi"/>
          <w:kern w:val="2"/>
        </w:rPr>
        <w:t xml:space="preserve">komen tot betere samenwerking en afspraken tijdens de </w:t>
      </w:r>
      <w:r w:rsidR="009F5031">
        <w:rPr>
          <w:rFonts w:cstheme="minorBidi"/>
          <w:kern w:val="2"/>
        </w:rPr>
        <w:t>eerste</w:t>
      </w:r>
      <w:r w:rsidRPr="001476E1" w:rsidR="009248B1">
        <w:rPr>
          <w:rFonts w:cstheme="minorBidi"/>
          <w:kern w:val="2"/>
        </w:rPr>
        <w:t xml:space="preserve"> 1000 dagen, </w:t>
      </w:r>
      <w:r w:rsidR="00B74376">
        <w:rPr>
          <w:rFonts w:cstheme="minorBidi"/>
          <w:kern w:val="2"/>
        </w:rPr>
        <w:t>wat ook</w:t>
      </w:r>
      <w:r w:rsidR="009248B1">
        <w:rPr>
          <w:rFonts w:cstheme="minorBidi"/>
          <w:kern w:val="2"/>
        </w:rPr>
        <w:t xml:space="preserve"> helpend is bij een </w:t>
      </w:r>
      <w:r w:rsidRPr="001476E1" w:rsidR="009248B1">
        <w:rPr>
          <w:rFonts w:cstheme="minorBidi"/>
          <w:kern w:val="2"/>
        </w:rPr>
        <w:t>betere implementatie van het PHB JGZ</w:t>
      </w:r>
      <w:r w:rsidR="009248B1">
        <w:rPr>
          <w:rFonts w:cstheme="minorBidi"/>
          <w:kern w:val="2"/>
        </w:rPr>
        <w:t xml:space="preserve">. </w:t>
      </w:r>
    </w:p>
    <w:p w:rsidR="00A77530" w:rsidP="00A77530" w:rsidRDefault="00A77530" w14:paraId="2BA42C30" w14:textId="77777777">
      <w:pPr>
        <w:pStyle w:val="Default"/>
        <w:spacing w:after="69"/>
        <w:rPr>
          <w:rFonts w:ascii="Verdana" w:hAnsi="Verdana" w:cstheme="minorBidi"/>
          <w:color w:val="auto"/>
          <w:kern w:val="2"/>
          <w:sz w:val="18"/>
          <w:szCs w:val="22"/>
        </w:rPr>
      </w:pPr>
    </w:p>
    <w:p w:rsidRPr="009172B1" w:rsidR="00A77530" w:rsidP="00A77530" w:rsidRDefault="00A77530" w14:paraId="543FFD3C" w14:textId="596DD655">
      <w:pPr>
        <w:pStyle w:val="Default"/>
        <w:rPr>
          <w:rFonts w:ascii="Verdana" w:hAnsi="Verdana" w:cstheme="minorBidi"/>
          <w:color w:val="auto"/>
          <w:kern w:val="2"/>
          <w:sz w:val="18"/>
          <w:szCs w:val="22"/>
        </w:rPr>
      </w:pPr>
      <w:bookmarkStart w:name="_Hlk167867598" w:id="1"/>
      <w:r w:rsidRPr="006A2CEF">
        <w:rPr>
          <w:rFonts w:ascii="Verdana" w:hAnsi="Verdana" w:cstheme="minorBidi"/>
          <w:i/>
          <w:iCs/>
          <w:color w:val="auto"/>
          <w:kern w:val="2"/>
          <w:sz w:val="18"/>
          <w:szCs w:val="22"/>
        </w:rPr>
        <w:t>Aanbeveling 2: Zorg voor duidelijkheid met betrekking tot een juridisch goed geborgde aanmeldprocedure voor zorgprofessionals</w:t>
      </w:r>
      <w:r>
        <w:rPr>
          <w:rFonts w:ascii="Verdana" w:hAnsi="Verdana" w:cstheme="minorBidi"/>
          <w:b/>
          <w:bCs/>
          <w:color w:val="auto"/>
          <w:kern w:val="2"/>
          <w:sz w:val="18"/>
          <w:szCs w:val="22"/>
        </w:rPr>
        <w:br/>
      </w:r>
      <w:r w:rsidRPr="009172B1">
        <w:rPr>
          <w:rFonts w:ascii="Verdana" w:hAnsi="Verdana" w:cstheme="minorBidi"/>
          <w:color w:val="auto"/>
          <w:kern w:val="2"/>
          <w:sz w:val="18"/>
          <w:szCs w:val="22"/>
        </w:rPr>
        <w:t xml:space="preserve">Het is van belang dat het proces van aanmelden voor een PHB </w:t>
      </w:r>
      <w:r w:rsidR="006A2CEF">
        <w:rPr>
          <w:rFonts w:ascii="Verdana" w:hAnsi="Verdana" w:cstheme="minorBidi"/>
          <w:color w:val="auto"/>
          <w:kern w:val="2"/>
          <w:sz w:val="18"/>
          <w:szCs w:val="22"/>
        </w:rPr>
        <w:t xml:space="preserve">JGZ </w:t>
      </w:r>
      <w:r w:rsidRPr="009172B1">
        <w:rPr>
          <w:rFonts w:ascii="Verdana" w:hAnsi="Verdana" w:cstheme="minorBidi"/>
          <w:color w:val="auto"/>
          <w:kern w:val="2"/>
          <w:sz w:val="18"/>
          <w:szCs w:val="22"/>
        </w:rPr>
        <w:t>(aanstaande) ouders zo goed mogelijk in staat stelt hier gebruik van te maken en juridisch goed geborgd is. Het huidige uitgangspunt van ‘zelf aanmelden’ wordt vanuit de praktijk niet altijd als wenselijk gezien. Hierbij wordt gewezen op het risico van het uitsluiten van ouders die het meeste baat kunnen hebben bij een PHB</w:t>
      </w:r>
      <w:r w:rsidR="00E93C1E">
        <w:rPr>
          <w:rFonts w:ascii="Verdana" w:hAnsi="Verdana" w:cstheme="minorBidi"/>
          <w:color w:val="auto"/>
          <w:kern w:val="2"/>
          <w:sz w:val="18"/>
          <w:szCs w:val="22"/>
        </w:rPr>
        <w:t xml:space="preserve"> JGZ</w:t>
      </w:r>
      <w:r w:rsidRPr="009172B1">
        <w:rPr>
          <w:rFonts w:ascii="Verdana" w:hAnsi="Verdana" w:cstheme="minorBidi"/>
          <w:color w:val="auto"/>
          <w:kern w:val="2"/>
          <w:sz w:val="18"/>
          <w:szCs w:val="22"/>
        </w:rPr>
        <w:t xml:space="preserve">. Samen met een zorgverlener aanmelden wordt soms als oplossing voorgesteld, maar tegelijkertijd wordt gewezen op risico’s met het oog op vrijwilligheid en de benodigde tijdsinzet voor professionals. Voor het doorverwijzen van (aanstaande) ouders in een kwetsbare situatie, waarbij zij door de zorgverlener worden aangemeld bij de JGZ, is volgens de </w:t>
      </w:r>
      <w:r w:rsidR="00FB6ECB">
        <w:rPr>
          <w:rFonts w:ascii="Verdana" w:hAnsi="Verdana" w:cstheme="minorBidi"/>
          <w:color w:val="auto"/>
          <w:kern w:val="2"/>
          <w:sz w:val="18"/>
          <w:szCs w:val="22"/>
        </w:rPr>
        <w:t>Autoriteit Persoonsgegevens (</w:t>
      </w:r>
      <w:r w:rsidRPr="009172B1">
        <w:rPr>
          <w:rFonts w:ascii="Verdana" w:hAnsi="Verdana" w:cstheme="minorBidi"/>
          <w:color w:val="auto"/>
          <w:kern w:val="2"/>
          <w:sz w:val="18"/>
          <w:szCs w:val="22"/>
        </w:rPr>
        <w:t>AP</w:t>
      </w:r>
      <w:r w:rsidR="00FB6ECB">
        <w:rPr>
          <w:rFonts w:ascii="Verdana" w:hAnsi="Verdana" w:cstheme="minorBidi"/>
          <w:color w:val="auto"/>
          <w:kern w:val="2"/>
          <w:sz w:val="18"/>
          <w:szCs w:val="22"/>
        </w:rPr>
        <w:t>)</w:t>
      </w:r>
      <w:r w:rsidRPr="009172B1">
        <w:rPr>
          <w:rFonts w:ascii="Verdana" w:hAnsi="Verdana" w:cstheme="minorBidi"/>
          <w:color w:val="auto"/>
          <w:kern w:val="2"/>
          <w:sz w:val="18"/>
          <w:szCs w:val="22"/>
        </w:rPr>
        <w:t xml:space="preserve"> momenteel geen wettelijke grondslag op basis van geneeskundig behandelovereenkomst </w:t>
      </w:r>
      <w:r w:rsidRPr="009172B1">
        <w:rPr>
          <w:rFonts w:ascii="Verdana" w:hAnsi="Verdana" w:cstheme="minorBidi"/>
          <w:color w:val="auto"/>
          <w:kern w:val="2"/>
          <w:sz w:val="18"/>
          <w:szCs w:val="22"/>
        </w:rPr>
        <w:lastRenderedPageBreak/>
        <w:t xml:space="preserve">(WGBO) en de AVG. In de praktijk wordt echter wel op deze manier aangemeld. Daarmee lopen zorgverleners mogelijk een risico op het overtreden van de AVG. Dit gebeurt vaak onbewust: er is vaak onduidelijkheid over wat juridisch gezien bij het aanmelden voor het PHB </w:t>
      </w:r>
      <w:r w:rsidR="00E93C1E">
        <w:rPr>
          <w:rFonts w:ascii="Verdana" w:hAnsi="Verdana" w:cstheme="minorBidi"/>
          <w:color w:val="auto"/>
          <w:kern w:val="2"/>
          <w:sz w:val="18"/>
          <w:szCs w:val="22"/>
        </w:rPr>
        <w:t xml:space="preserve">JGZ </w:t>
      </w:r>
      <w:r w:rsidRPr="009172B1">
        <w:rPr>
          <w:rFonts w:ascii="Verdana" w:hAnsi="Verdana" w:cstheme="minorBidi"/>
          <w:color w:val="auto"/>
          <w:kern w:val="2"/>
          <w:sz w:val="18"/>
          <w:szCs w:val="22"/>
        </w:rPr>
        <w:t xml:space="preserve">wel en niet mag. </w:t>
      </w:r>
    </w:p>
    <w:p w:rsidRPr="009172B1" w:rsidR="00A77530" w:rsidP="00A77530" w:rsidRDefault="00A77530" w14:paraId="35E2D1CC" w14:textId="77777777">
      <w:pPr>
        <w:pStyle w:val="Default"/>
        <w:rPr>
          <w:rFonts w:ascii="Verdana" w:hAnsi="Verdana" w:cstheme="minorBidi"/>
          <w:color w:val="auto"/>
          <w:kern w:val="2"/>
          <w:sz w:val="18"/>
          <w:szCs w:val="22"/>
        </w:rPr>
      </w:pPr>
    </w:p>
    <w:p w:rsidR="003D6925" w:rsidP="00A77530" w:rsidRDefault="00A77530" w14:paraId="48B70586" w14:textId="4B8F0C40">
      <w:pPr>
        <w:pStyle w:val="Default"/>
        <w:rPr>
          <w:rFonts w:ascii="Verdana" w:hAnsi="Verdana" w:cstheme="minorBidi"/>
          <w:color w:val="auto"/>
          <w:kern w:val="2"/>
          <w:sz w:val="18"/>
          <w:szCs w:val="22"/>
        </w:rPr>
      </w:pPr>
      <w:r w:rsidRPr="009172B1">
        <w:rPr>
          <w:rFonts w:ascii="Verdana" w:hAnsi="Verdana" w:cstheme="minorBidi"/>
          <w:color w:val="auto"/>
          <w:kern w:val="2"/>
          <w:sz w:val="18"/>
          <w:szCs w:val="22"/>
        </w:rPr>
        <w:t>Actie</w:t>
      </w:r>
      <w:r w:rsidR="007E7738">
        <w:rPr>
          <w:rFonts w:ascii="Verdana" w:hAnsi="Verdana" w:cstheme="minorBidi"/>
          <w:color w:val="auto"/>
          <w:kern w:val="2"/>
          <w:sz w:val="18"/>
          <w:szCs w:val="22"/>
        </w:rPr>
        <w:t>:</w:t>
      </w:r>
      <w:r w:rsidRPr="007E7738" w:rsidR="007E7738">
        <w:rPr>
          <w:rFonts w:ascii="Verdana" w:hAnsi="Verdana" w:cstheme="minorBidi"/>
          <w:color w:val="auto"/>
          <w:kern w:val="2"/>
          <w:sz w:val="18"/>
          <w:szCs w:val="22"/>
        </w:rPr>
        <w:t xml:space="preserve"> </w:t>
      </w:r>
      <w:r w:rsidR="007E7738">
        <w:rPr>
          <w:rFonts w:ascii="Verdana" w:hAnsi="Verdana" w:cstheme="minorBidi"/>
          <w:color w:val="auto"/>
          <w:kern w:val="2"/>
          <w:sz w:val="18"/>
          <w:szCs w:val="22"/>
        </w:rPr>
        <w:t xml:space="preserve">Met de </w:t>
      </w:r>
      <w:r w:rsidRPr="009172B1" w:rsidR="007E7738">
        <w:rPr>
          <w:rFonts w:ascii="Verdana" w:hAnsi="Verdana" w:cstheme="minorBidi"/>
          <w:color w:val="auto"/>
          <w:kern w:val="2"/>
          <w:sz w:val="18"/>
          <w:szCs w:val="22"/>
        </w:rPr>
        <w:t xml:space="preserve">Autoriteit Persoonsgegevens </w:t>
      </w:r>
      <w:r w:rsidR="007E7738">
        <w:rPr>
          <w:rFonts w:ascii="Verdana" w:hAnsi="Verdana" w:cstheme="minorBidi"/>
          <w:color w:val="auto"/>
          <w:kern w:val="2"/>
          <w:sz w:val="18"/>
          <w:szCs w:val="22"/>
        </w:rPr>
        <w:t>wordt gesproken over het</w:t>
      </w:r>
      <w:r w:rsidRPr="009172B1" w:rsidR="007E7738">
        <w:rPr>
          <w:rFonts w:ascii="Verdana" w:hAnsi="Verdana" w:cstheme="minorBidi"/>
          <w:color w:val="auto"/>
          <w:kern w:val="2"/>
          <w:sz w:val="18"/>
          <w:szCs w:val="22"/>
        </w:rPr>
        <w:t xml:space="preserve"> advies</w:t>
      </w:r>
      <w:r w:rsidR="0025528E">
        <w:rPr>
          <w:rFonts w:ascii="Verdana" w:hAnsi="Verdana" w:cstheme="minorBidi"/>
          <w:color w:val="auto"/>
          <w:kern w:val="2"/>
          <w:sz w:val="18"/>
          <w:szCs w:val="22"/>
        </w:rPr>
        <w:t xml:space="preserve"> dat zij eerder </w:t>
      </w:r>
      <w:r w:rsidR="00B74376">
        <w:rPr>
          <w:rFonts w:ascii="Verdana" w:hAnsi="Verdana" w:cstheme="minorBidi"/>
          <w:color w:val="auto"/>
          <w:kern w:val="2"/>
          <w:sz w:val="18"/>
          <w:szCs w:val="22"/>
        </w:rPr>
        <w:t xml:space="preserve">hebben </w:t>
      </w:r>
      <w:r w:rsidR="0025528E">
        <w:rPr>
          <w:rFonts w:ascii="Verdana" w:hAnsi="Verdana" w:cstheme="minorBidi"/>
          <w:color w:val="auto"/>
          <w:kern w:val="2"/>
          <w:sz w:val="18"/>
          <w:szCs w:val="22"/>
        </w:rPr>
        <w:t xml:space="preserve">gegeven </w:t>
      </w:r>
      <w:r w:rsidR="00B74376">
        <w:rPr>
          <w:rFonts w:ascii="Verdana" w:hAnsi="Verdana" w:cstheme="minorBidi"/>
          <w:color w:val="auto"/>
          <w:kern w:val="2"/>
          <w:sz w:val="18"/>
          <w:szCs w:val="22"/>
        </w:rPr>
        <w:t>over</w:t>
      </w:r>
      <w:r w:rsidRPr="009172B1" w:rsidR="00B74376">
        <w:rPr>
          <w:rFonts w:ascii="Verdana" w:hAnsi="Verdana" w:cstheme="minorBidi"/>
          <w:color w:val="auto"/>
          <w:kern w:val="2"/>
          <w:sz w:val="18"/>
          <w:szCs w:val="22"/>
        </w:rPr>
        <w:t xml:space="preserve"> </w:t>
      </w:r>
      <w:r w:rsidRPr="009172B1" w:rsidR="007E7738">
        <w:rPr>
          <w:rFonts w:ascii="Verdana" w:hAnsi="Verdana" w:cstheme="minorBidi"/>
          <w:color w:val="auto"/>
          <w:kern w:val="2"/>
          <w:sz w:val="18"/>
          <w:szCs w:val="22"/>
        </w:rPr>
        <w:t>het</w:t>
      </w:r>
      <w:r w:rsidR="00C2174C">
        <w:rPr>
          <w:rFonts w:ascii="Verdana" w:hAnsi="Verdana" w:cstheme="minorBidi"/>
          <w:color w:val="auto"/>
          <w:kern w:val="2"/>
          <w:sz w:val="18"/>
          <w:szCs w:val="22"/>
        </w:rPr>
        <w:t xml:space="preserve"> </w:t>
      </w:r>
      <w:r w:rsidRPr="009172B1" w:rsidR="007E7738">
        <w:rPr>
          <w:rFonts w:ascii="Verdana" w:hAnsi="Verdana" w:cstheme="minorBidi"/>
          <w:color w:val="auto"/>
          <w:kern w:val="2"/>
          <w:sz w:val="18"/>
          <w:szCs w:val="22"/>
        </w:rPr>
        <w:t>doorverwijzen van een zwangere cliënt</w:t>
      </w:r>
      <w:r w:rsidR="007E7738">
        <w:rPr>
          <w:rFonts w:ascii="Verdana" w:hAnsi="Verdana" w:cstheme="minorBidi"/>
          <w:color w:val="auto"/>
          <w:kern w:val="2"/>
          <w:sz w:val="18"/>
          <w:szCs w:val="22"/>
        </w:rPr>
        <w:t>e</w:t>
      </w:r>
      <w:r w:rsidRPr="009172B1" w:rsidR="007E7738">
        <w:rPr>
          <w:rFonts w:ascii="Verdana" w:hAnsi="Verdana" w:cstheme="minorBidi"/>
          <w:color w:val="auto"/>
          <w:kern w:val="2"/>
          <w:sz w:val="18"/>
          <w:szCs w:val="22"/>
        </w:rPr>
        <w:t xml:space="preserve"> </w:t>
      </w:r>
      <w:r w:rsidR="0025528E">
        <w:rPr>
          <w:rFonts w:ascii="Verdana" w:hAnsi="Verdana" w:cstheme="minorBidi"/>
          <w:color w:val="auto"/>
          <w:kern w:val="2"/>
          <w:sz w:val="18"/>
          <w:szCs w:val="22"/>
        </w:rPr>
        <w:t xml:space="preserve">in een kwetsbare situatie </w:t>
      </w:r>
      <w:r w:rsidR="007E7738">
        <w:rPr>
          <w:rFonts w:ascii="Verdana" w:hAnsi="Verdana" w:cstheme="minorBidi"/>
          <w:color w:val="auto"/>
          <w:kern w:val="2"/>
          <w:sz w:val="18"/>
          <w:szCs w:val="22"/>
        </w:rPr>
        <w:t xml:space="preserve">door </w:t>
      </w:r>
      <w:r w:rsidRPr="009172B1" w:rsidR="007E7738">
        <w:rPr>
          <w:rFonts w:ascii="Verdana" w:hAnsi="Verdana" w:cstheme="minorBidi"/>
          <w:color w:val="auto"/>
          <w:kern w:val="2"/>
          <w:sz w:val="18"/>
          <w:szCs w:val="22"/>
        </w:rPr>
        <w:t>de verloskundig</w:t>
      </w:r>
      <w:r w:rsidR="00C2174C">
        <w:rPr>
          <w:rFonts w:ascii="Verdana" w:hAnsi="Verdana" w:cstheme="minorBidi"/>
          <w:color w:val="auto"/>
          <w:kern w:val="2"/>
          <w:sz w:val="18"/>
          <w:szCs w:val="22"/>
        </w:rPr>
        <w:t xml:space="preserve"> zorgverlener</w:t>
      </w:r>
      <w:r w:rsidRPr="009172B1" w:rsidR="007E7738">
        <w:rPr>
          <w:rFonts w:ascii="Verdana" w:hAnsi="Verdana" w:cstheme="minorBidi"/>
          <w:color w:val="auto"/>
          <w:kern w:val="2"/>
          <w:sz w:val="18"/>
          <w:szCs w:val="22"/>
        </w:rPr>
        <w:t xml:space="preserve"> naar de JGZ. </w:t>
      </w:r>
      <w:r w:rsidR="007E7738">
        <w:rPr>
          <w:rFonts w:ascii="Verdana" w:hAnsi="Verdana" w:cstheme="minorBidi"/>
          <w:color w:val="auto"/>
          <w:kern w:val="2"/>
          <w:sz w:val="18"/>
          <w:szCs w:val="22"/>
        </w:rPr>
        <w:t xml:space="preserve">Bezien wordt </w:t>
      </w:r>
      <w:r w:rsidR="003172A1">
        <w:rPr>
          <w:rFonts w:ascii="Verdana" w:hAnsi="Verdana" w:cstheme="minorBidi"/>
          <w:color w:val="auto"/>
          <w:kern w:val="2"/>
          <w:sz w:val="18"/>
          <w:szCs w:val="22"/>
        </w:rPr>
        <w:t>welke</w:t>
      </w:r>
      <w:r w:rsidR="007E7738">
        <w:rPr>
          <w:rFonts w:ascii="Verdana" w:hAnsi="Verdana" w:cstheme="minorBidi"/>
          <w:color w:val="auto"/>
          <w:kern w:val="2"/>
          <w:sz w:val="18"/>
          <w:szCs w:val="22"/>
        </w:rPr>
        <w:t xml:space="preserve"> ruimte bestaat </w:t>
      </w:r>
      <w:r w:rsidRPr="009172B1" w:rsidR="007E7738">
        <w:rPr>
          <w:rFonts w:ascii="Verdana" w:hAnsi="Verdana" w:cstheme="minorBidi"/>
          <w:color w:val="auto"/>
          <w:kern w:val="2"/>
          <w:sz w:val="18"/>
          <w:szCs w:val="22"/>
        </w:rPr>
        <w:t xml:space="preserve">om nader te verkennen in hoeverre </w:t>
      </w:r>
      <w:r w:rsidR="007E7738">
        <w:rPr>
          <w:rFonts w:ascii="Verdana" w:hAnsi="Verdana" w:cstheme="minorBidi"/>
          <w:color w:val="auto"/>
          <w:kern w:val="2"/>
          <w:sz w:val="18"/>
          <w:szCs w:val="22"/>
        </w:rPr>
        <w:t>een verloskundig</w:t>
      </w:r>
      <w:r w:rsidR="00C2174C">
        <w:rPr>
          <w:rFonts w:ascii="Verdana" w:hAnsi="Verdana" w:cstheme="minorBidi"/>
          <w:color w:val="auto"/>
          <w:kern w:val="2"/>
          <w:sz w:val="18"/>
          <w:szCs w:val="22"/>
        </w:rPr>
        <w:t xml:space="preserve"> zorgverlener </w:t>
      </w:r>
      <w:r w:rsidR="007E7738">
        <w:rPr>
          <w:rFonts w:ascii="Verdana" w:hAnsi="Verdana" w:cstheme="minorBidi"/>
          <w:color w:val="auto"/>
          <w:kern w:val="2"/>
          <w:sz w:val="18"/>
          <w:szCs w:val="22"/>
        </w:rPr>
        <w:t xml:space="preserve">een zwangere </w:t>
      </w:r>
      <w:r w:rsidR="00B74376">
        <w:rPr>
          <w:rFonts w:ascii="Verdana" w:hAnsi="Verdana" w:cstheme="minorBidi"/>
          <w:color w:val="auto"/>
          <w:kern w:val="2"/>
          <w:sz w:val="18"/>
          <w:szCs w:val="22"/>
        </w:rPr>
        <w:t>cliënte</w:t>
      </w:r>
      <w:r w:rsidR="007E7738">
        <w:rPr>
          <w:rFonts w:ascii="Verdana" w:hAnsi="Verdana" w:cstheme="minorBidi"/>
          <w:color w:val="auto"/>
          <w:kern w:val="2"/>
          <w:sz w:val="18"/>
          <w:szCs w:val="22"/>
        </w:rPr>
        <w:t xml:space="preserve"> met haar toestemming kan </w:t>
      </w:r>
      <w:r w:rsidR="003F62E1">
        <w:rPr>
          <w:rFonts w:ascii="Verdana" w:hAnsi="Verdana" w:cstheme="minorBidi"/>
          <w:color w:val="auto"/>
          <w:kern w:val="2"/>
          <w:sz w:val="18"/>
          <w:szCs w:val="22"/>
        </w:rPr>
        <w:t xml:space="preserve">doorverwijzen </w:t>
      </w:r>
      <w:r w:rsidR="007E7738">
        <w:rPr>
          <w:rFonts w:ascii="Verdana" w:hAnsi="Verdana" w:cstheme="minorBidi"/>
          <w:color w:val="auto"/>
          <w:kern w:val="2"/>
          <w:sz w:val="18"/>
          <w:szCs w:val="22"/>
        </w:rPr>
        <w:t>voor een PHB</w:t>
      </w:r>
      <w:r w:rsidR="00E93C1E">
        <w:rPr>
          <w:rFonts w:ascii="Verdana" w:hAnsi="Verdana" w:cstheme="minorBidi"/>
          <w:color w:val="auto"/>
          <w:kern w:val="2"/>
          <w:sz w:val="18"/>
          <w:szCs w:val="22"/>
        </w:rPr>
        <w:t xml:space="preserve"> JGZ</w:t>
      </w:r>
      <w:r w:rsidRPr="009172B1" w:rsidR="007E7738">
        <w:rPr>
          <w:rFonts w:ascii="Verdana" w:hAnsi="Verdana" w:cstheme="minorBidi"/>
          <w:color w:val="auto"/>
          <w:kern w:val="2"/>
          <w:sz w:val="18"/>
          <w:szCs w:val="22"/>
        </w:rPr>
        <w:t>. Hierover worden</w:t>
      </w:r>
      <w:r w:rsidR="007E7738">
        <w:rPr>
          <w:rFonts w:ascii="Verdana" w:hAnsi="Verdana" w:cstheme="minorBidi"/>
          <w:color w:val="auto"/>
          <w:kern w:val="2"/>
          <w:sz w:val="18"/>
          <w:szCs w:val="22"/>
        </w:rPr>
        <w:t xml:space="preserve"> </w:t>
      </w:r>
      <w:r w:rsidR="00B74376">
        <w:rPr>
          <w:rFonts w:ascii="Verdana" w:hAnsi="Verdana" w:cstheme="minorBidi"/>
          <w:color w:val="auto"/>
          <w:kern w:val="2"/>
          <w:sz w:val="18"/>
          <w:szCs w:val="22"/>
        </w:rPr>
        <w:t>als dat nodig is</w:t>
      </w:r>
      <w:r w:rsidRPr="009172B1" w:rsidR="007E7738">
        <w:rPr>
          <w:rFonts w:ascii="Verdana" w:hAnsi="Verdana" w:cstheme="minorBidi"/>
          <w:color w:val="auto"/>
          <w:kern w:val="2"/>
          <w:sz w:val="18"/>
          <w:szCs w:val="22"/>
        </w:rPr>
        <w:t xml:space="preserve"> verdere gesprekken gevoerd met de Autoriteit Persoonsgegevens</w:t>
      </w:r>
      <w:r w:rsidR="00FB6ECB">
        <w:rPr>
          <w:rFonts w:ascii="Verdana" w:hAnsi="Verdana" w:cstheme="minorBidi"/>
          <w:color w:val="auto"/>
          <w:kern w:val="2"/>
          <w:sz w:val="18"/>
          <w:szCs w:val="22"/>
        </w:rPr>
        <w:t xml:space="preserve"> (AP)</w:t>
      </w:r>
      <w:r w:rsidRPr="009172B1" w:rsidR="007E7738">
        <w:rPr>
          <w:rFonts w:ascii="Verdana" w:hAnsi="Verdana" w:cstheme="minorBidi"/>
          <w:color w:val="auto"/>
          <w:kern w:val="2"/>
          <w:sz w:val="18"/>
          <w:szCs w:val="22"/>
        </w:rPr>
        <w:t>, C</w:t>
      </w:r>
      <w:r w:rsidR="0025528E">
        <w:rPr>
          <w:rFonts w:ascii="Verdana" w:hAnsi="Verdana" w:cstheme="minorBidi"/>
          <w:color w:val="auto"/>
          <w:kern w:val="2"/>
          <w:sz w:val="18"/>
          <w:szCs w:val="22"/>
        </w:rPr>
        <w:t>ollege Perinatale Zorg (C</w:t>
      </w:r>
      <w:r w:rsidRPr="009172B1" w:rsidR="007E7738">
        <w:rPr>
          <w:rFonts w:ascii="Verdana" w:hAnsi="Verdana" w:cstheme="minorBidi"/>
          <w:color w:val="auto"/>
          <w:kern w:val="2"/>
          <w:sz w:val="18"/>
          <w:szCs w:val="22"/>
        </w:rPr>
        <w:t>PZ</w:t>
      </w:r>
      <w:r w:rsidR="0025528E">
        <w:rPr>
          <w:rFonts w:ascii="Verdana" w:hAnsi="Verdana" w:cstheme="minorBidi"/>
          <w:color w:val="auto"/>
          <w:kern w:val="2"/>
          <w:sz w:val="18"/>
          <w:szCs w:val="22"/>
        </w:rPr>
        <w:t>)</w:t>
      </w:r>
      <w:r w:rsidRPr="009172B1" w:rsidR="007E7738">
        <w:rPr>
          <w:rFonts w:ascii="Verdana" w:hAnsi="Verdana" w:cstheme="minorBidi"/>
          <w:color w:val="auto"/>
          <w:kern w:val="2"/>
          <w:sz w:val="18"/>
          <w:szCs w:val="22"/>
        </w:rPr>
        <w:t xml:space="preserve">, </w:t>
      </w:r>
      <w:r w:rsidR="009F5031">
        <w:rPr>
          <w:rFonts w:ascii="Verdana" w:hAnsi="Verdana" w:cstheme="minorBidi"/>
          <w:color w:val="auto"/>
          <w:kern w:val="2"/>
          <w:sz w:val="18"/>
          <w:szCs w:val="22"/>
        </w:rPr>
        <w:t>Koninklijke Nederlandse Organisatie voor Verloskundigen (</w:t>
      </w:r>
      <w:r w:rsidRPr="009172B1" w:rsidR="007E7738">
        <w:rPr>
          <w:rFonts w:ascii="Verdana" w:hAnsi="Verdana" w:cstheme="minorBidi"/>
          <w:color w:val="auto"/>
          <w:kern w:val="2"/>
          <w:sz w:val="18"/>
          <w:szCs w:val="22"/>
        </w:rPr>
        <w:t>KNOV</w:t>
      </w:r>
      <w:r w:rsidR="009F5031">
        <w:rPr>
          <w:rFonts w:ascii="Verdana" w:hAnsi="Verdana" w:cstheme="minorBidi"/>
          <w:color w:val="auto"/>
          <w:kern w:val="2"/>
          <w:sz w:val="18"/>
          <w:szCs w:val="22"/>
        </w:rPr>
        <w:t>)</w:t>
      </w:r>
      <w:r w:rsidR="003172A1">
        <w:rPr>
          <w:rFonts w:ascii="Verdana" w:hAnsi="Verdana" w:cstheme="minorBidi"/>
          <w:color w:val="auto"/>
          <w:kern w:val="2"/>
          <w:sz w:val="18"/>
          <w:szCs w:val="22"/>
        </w:rPr>
        <w:t xml:space="preserve"> en het</w:t>
      </w:r>
      <w:r w:rsidRPr="009172B1" w:rsidR="007E7738">
        <w:rPr>
          <w:rFonts w:ascii="Verdana" w:hAnsi="Verdana" w:cstheme="minorBidi"/>
          <w:color w:val="auto"/>
          <w:kern w:val="2"/>
          <w:sz w:val="18"/>
          <w:szCs w:val="22"/>
        </w:rPr>
        <w:t xml:space="preserve"> NCJ</w:t>
      </w:r>
      <w:r w:rsidR="007E7738">
        <w:rPr>
          <w:rFonts w:ascii="Verdana" w:hAnsi="Verdana" w:cstheme="minorBidi"/>
          <w:color w:val="auto"/>
          <w:kern w:val="2"/>
          <w:sz w:val="18"/>
          <w:szCs w:val="22"/>
        </w:rPr>
        <w:t>. Doel is te</w:t>
      </w:r>
      <w:r w:rsidRPr="009172B1" w:rsidR="007E7738">
        <w:rPr>
          <w:rFonts w:ascii="Verdana" w:hAnsi="Verdana" w:cstheme="minorBidi"/>
          <w:color w:val="auto"/>
          <w:kern w:val="2"/>
          <w:sz w:val="18"/>
          <w:szCs w:val="22"/>
        </w:rPr>
        <w:t xml:space="preserve"> komen tot een duidelijk standpunt </w:t>
      </w:r>
      <w:r w:rsidR="00B74376">
        <w:rPr>
          <w:rFonts w:ascii="Verdana" w:hAnsi="Verdana" w:cstheme="minorBidi"/>
          <w:color w:val="auto"/>
          <w:kern w:val="2"/>
          <w:sz w:val="18"/>
          <w:szCs w:val="22"/>
        </w:rPr>
        <w:t>over</w:t>
      </w:r>
      <w:r w:rsidRPr="009172B1" w:rsidR="00B74376">
        <w:rPr>
          <w:rFonts w:ascii="Verdana" w:hAnsi="Verdana" w:cstheme="minorBidi"/>
          <w:color w:val="auto"/>
          <w:kern w:val="2"/>
          <w:sz w:val="18"/>
          <w:szCs w:val="22"/>
        </w:rPr>
        <w:t xml:space="preserve"> </w:t>
      </w:r>
      <w:r w:rsidRPr="009172B1" w:rsidR="007E7738">
        <w:rPr>
          <w:rFonts w:ascii="Verdana" w:hAnsi="Verdana" w:cstheme="minorBidi"/>
          <w:color w:val="auto"/>
          <w:kern w:val="2"/>
          <w:sz w:val="18"/>
          <w:szCs w:val="22"/>
        </w:rPr>
        <w:t xml:space="preserve">de mogelijkheden en onmogelijkheden </w:t>
      </w:r>
      <w:r w:rsidR="00C2174C">
        <w:rPr>
          <w:rFonts w:ascii="Verdana" w:hAnsi="Verdana" w:cstheme="minorBidi"/>
          <w:color w:val="auto"/>
          <w:kern w:val="2"/>
          <w:sz w:val="18"/>
          <w:szCs w:val="22"/>
        </w:rPr>
        <w:t xml:space="preserve">van het doorverwijzen van een </w:t>
      </w:r>
      <w:r w:rsidRPr="009172B1" w:rsidR="007E7738">
        <w:rPr>
          <w:rFonts w:ascii="Verdana" w:hAnsi="Verdana" w:cstheme="minorBidi"/>
          <w:color w:val="auto"/>
          <w:kern w:val="2"/>
          <w:sz w:val="18"/>
          <w:szCs w:val="22"/>
        </w:rPr>
        <w:t>zwangere cliënte voor een PHB JGZ</w:t>
      </w:r>
      <w:r w:rsidR="00C2174C">
        <w:rPr>
          <w:rFonts w:ascii="Verdana" w:hAnsi="Verdana" w:cstheme="minorBidi"/>
          <w:color w:val="auto"/>
          <w:kern w:val="2"/>
          <w:sz w:val="18"/>
          <w:szCs w:val="22"/>
        </w:rPr>
        <w:t xml:space="preserve"> door een verloskundig zorgverlener. Dit standpunt wordt vervolgens opgenomen in de </w:t>
      </w:r>
      <w:r w:rsidR="00B74376">
        <w:rPr>
          <w:rFonts w:ascii="Verdana" w:hAnsi="Verdana" w:cstheme="minorBidi"/>
          <w:color w:val="auto"/>
          <w:kern w:val="2"/>
          <w:sz w:val="18"/>
          <w:szCs w:val="22"/>
        </w:rPr>
        <w:t xml:space="preserve">al </w:t>
      </w:r>
      <w:r w:rsidR="00C2174C">
        <w:rPr>
          <w:rFonts w:ascii="Verdana" w:hAnsi="Verdana" w:cstheme="minorBidi"/>
          <w:color w:val="auto"/>
          <w:kern w:val="2"/>
          <w:sz w:val="18"/>
          <w:szCs w:val="22"/>
        </w:rPr>
        <w:t>ontwikkelde Handreiking PHB JGZ en overige PHB</w:t>
      </w:r>
      <w:r w:rsidR="00E93C1E">
        <w:rPr>
          <w:rFonts w:ascii="Verdana" w:hAnsi="Verdana" w:cstheme="minorBidi"/>
          <w:color w:val="auto"/>
          <w:kern w:val="2"/>
          <w:sz w:val="18"/>
          <w:szCs w:val="22"/>
        </w:rPr>
        <w:t xml:space="preserve"> JGZ</w:t>
      </w:r>
      <w:r w:rsidR="00C2174C">
        <w:rPr>
          <w:rFonts w:ascii="Verdana" w:hAnsi="Verdana" w:cstheme="minorBidi"/>
          <w:color w:val="auto"/>
          <w:kern w:val="2"/>
          <w:sz w:val="18"/>
          <w:szCs w:val="22"/>
        </w:rPr>
        <w:t xml:space="preserve"> materialen van het NCJ, </w:t>
      </w:r>
      <w:r w:rsidR="00B74376">
        <w:rPr>
          <w:rFonts w:ascii="Verdana" w:hAnsi="Verdana" w:cstheme="minorBidi"/>
          <w:color w:val="auto"/>
          <w:kern w:val="2"/>
          <w:sz w:val="18"/>
          <w:szCs w:val="22"/>
        </w:rPr>
        <w:t xml:space="preserve">die </w:t>
      </w:r>
      <w:r w:rsidR="00C2174C">
        <w:rPr>
          <w:rFonts w:ascii="Verdana" w:hAnsi="Verdana" w:cstheme="minorBidi"/>
          <w:color w:val="auto"/>
          <w:kern w:val="2"/>
          <w:sz w:val="18"/>
          <w:szCs w:val="22"/>
        </w:rPr>
        <w:t>breed worden verspreid.</w:t>
      </w:r>
    </w:p>
    <w:bookmarkEnd w:id="1"/>
    <w:p w:rsidR="00C2174C" w:rsidP="00A77530" w:rsidRDefault="00C2174C" w14:paraId="38704291" w14:textId="77777777">
      <w:pPr>
        <w:pStyle w:val="Default"/>
        <w:rPr>
          <w:rFonts w:ascii="Verdana" w:hAnsi="Verdana" w:cstheme="minorBidi"/>
          <w:color w:val="auto"/>
          <w:kern w:val="2"/>
          <w:sz w:val="18"/>
          <w:szCs w:val="22"/>
        </w:rPr>
      </w:pPr>
    </w:p>
    <w:p w:rsidRPr="008B5D92" w:rsidR="00A77530" w:rsidP="00A77530" w:rsidRDefault="005225E2" w14:paraId="67B71537" w14:textId="78FF7C0C">
      <w:pPr>
        <w:pStyle w:val="Default"/>
        <w:rPr>
          <w:rFonts w:ascii="Verdana" w:hAnsi="Verdana" w:cstheme="minorBidi"/>
          <w:i/>
          <w:iCs/>
          <w:color w:val="auto"/>
          <w:kern w:val="2"/>
          <w:sz w:val="18"/>
          <w:szCs w:val="22"/>
        </w:rPr>
      </w:pPr>
      <w:r>
        <w:rPr>
          <w:rFonts w:ascii="Verdana" w:hAnsi="Verdana" w:cstheme="minorBidi"/>
          <w:i/>
          <w:iCs/>
          <w:color w:val="auto"/>
          <w:kern w:val="2"/>
          <w:sz w:val="18"/>
          <w:szCs w:val="22"/>
        </w:rPr>
        <w:t xml:space="preserve">Aanbeveling </w:t>
      </w:r>
      <w:r w:rsidRPr="008B5D92" w:rsidR="00A77530">
        <w:rPr>
          <w:rFonts w:ascii="Verdana" w:hAnsi="Verdana" w:cstheme="minorBidi"/>
          <w:i/>
          <w:iCs/>
          <w:color w:val="auto"/>
          <w:kern w:val="2"/>
          <w:sz w:val="18"/>
          <w:szCs w:val="22"/>
        </w:rPr>
        <w:t>3</w:t>
      </w:r>
      <w:r>
        <w:rPr>
          <w:rFonts w:ascii="Verdana" w:hAnsi="Verdana" w:cstheme="minorBidi"/>
          <w:i/>
          <w:iCs/>
          <w:color w:val="auto"/>
          <w:kern w:val="2"/>
          <w:sz w:val="18"/>
          <w:szCs w:val="22"/>
        </w:rPr>
        <w:t xml:space="preserve">: </w:t>
      </w:r>
      <w:r w:rsidRPr="008B5D92" w:rsidR="00A77530">
        <w:rPr>
          <w:rFonts w:ascii="Verdana" w:hAnsi="Verdana" w:cstheme="minorBidi"/>
          <w:i/>
          <w:iCs/>
          <w:color w:val="auto"/>
          <w:kern w:val="2"/>
          <w:sz w:val="18"/>
          <w:szCs w:val="22"/>
        </w:rPr>
        <w:t xml:space="preserve">Versterk professionals bij hun signalerende functie </w:t>
      </w:r>
    </w:p>
    <w:p w:rsidRPr="009172B1" w:rsidR="00A77530" w:rsidP="00A77530" w:rsidRDefault="00A77530" w14:paraId="75B5D045" w14:textId="6CEF4660">
      <w:pPr>
        <w:pStyle w:val="Default"/>
        <w:rPr>
          <w:rFonts w:ascii="Verdana" w:hAnsi="Verdana" w:cstheme="minorBidi"/>
          <w:color w:val="auto"/>
          <w:kern w:val="2"/>
          <w:sz w:val="18"/>
          <w:szCs w:val="22"/>
        </w:rPr>
      </w:pPr>
      <w:r w:rsidRPr="002F1EF1">
        <w:rPr>
          <w:rFonts w:ascii="Verdana" w:hAnsi="Verdana" w:cstheme="minorBidi"/>
          <w:color w:val="auto"/>
          <w:kern w:val="2"/>
          <w:sz w:val="18"/>
          <w:szCs w:val="22"/>
        </w:rPr>
        <w:t>Het bereiken van (aanstaande) ouders in een kwetsbare situatie start bij professionals die kwetsbaarheden goed kunnen signaleren. Professionals geven aan dat dit niet eenvoudig is en het verschilt in hoeverre zij zich goed toegerust voelen. Over het algemeen zien zij ruimte om signalerende vaardigheden te versterken. Het gebruik van adequate signaleringsinstrumenten en methodieken / gesprekstechnieken speelt hierin een belangrijke rol, zoals ook benadrukt in de toelichting op het wetsartikel van het PHB</w:t>
      </w:r>
      <w:r w:rsidR="00E93C1E">
        <w:rPr>
          <w:rFonts w:ascii="Verdana" w:hAnsi="Verdana" w:cstheme="minorBidi"/>
          <w:color w:val="auto"/>
          <w:kern w:val="2"/>
          <w:sz w:val="18"/>
          <w:szCs w:val="22"/>
        </w:rPr>
        <w:t xml:space="preserve"> JGZ</w:t>
      </w:r>
      <w:r w:rsidRPr="002F1EF1">
        <w:rPr>
          <w:rFonts w:ascii="Verdana" w:hAnsi="Verdana" w:cstheme="minorBidi"/>
          <w:color w:val="auto"/>
          <w:kern w:val="2"/>
          <w:sz w:val="18"/>
          <w:szCs w:val="22"/>
        </w:rPr>
        <w:t>.</w:t>
      </w:r>
    </w:p>
    <w:p w:rsidR="00A77530" w:rsidP="00A77530" w:rsidRDefault="00A77530" w14:paraId="5B03D97B" w14:textId="77777777">
      <w:pPr>
        <w:pStyle w:val="Default"/>
        <w:spacing w:after="69"/>
        <w:rPr>
          <w:rFonts w:ascii="Verdana" w:hAnsi="Verdana" w:cstheme="minorBidi"/>
          <w:color w:val="auto"/>
          <w:kern w:val="2"/>
          <w:sz w:val="18"/>
          <w:szCs w:val="22"/>
        </w:rPr>
      </w:pPr>
    </w:p>
    <w:p w:rsidR="00A77530" w:rsidP="00A77530" w:rsidRDefault="00A77530" w14:paraId="3DBB2B9C" w14:textId="502F4A6C">
      <w:pPr>
        <w:pStyle w:val="Default"/>
        <w:spacing w:after="69"/>
        <w:rPr>
          <w:rFonts w:ascii="Verdana" w:hAnsi="Verdana" w:cstheme="minorBidi"/>
          <w:color w:val="auto"/>
          <w:kern w:val="2"/>
          <w:sz w:val="18"/>
          <w:szCs w:val="22"/>
        </w:rPr>
      </w:pPr>
      <w:r>
        <w:rPr>
          <w:rFonts w:ascii="Verdana" w:hAnsi="Verdana" w:cstheme="minorBidi"/>
          <w:color w:val="auto"/>
          <w:kern w:val="2"/>
          <w:sz w:val="18"/>
          <w:szCs w:val="22"/>
        </w:rPr>
        <w:t>Actie:</w:t>
      </w:r>
      <w:r w:rsidR="00B65AC1">
        <w:rPr>
          <w:rFonts w:ascii="Verdana" w:hAnsi="Verdana" w:cstheme="minorBidi"/>
          <w:color w:val="auto"/>
          <w:kern w:val="2"/>
          <w:sz w:val="18"/>
          <w:szCs w:val="22"/>
        </w:rPr>
        <w:t xml:space="preserve"> Bij de invoering van het PHB JGZ </w:t>
      </w:r>
      <w:r w:rsidR="009A4AA0">
        <w:rPr>
          <w:rFonts w:ascii="Verdana" w:hAnsi="Verdana" w:cstheme="minorBidi"/>
          <w:color w:val="auto"/>
          <w:kern w:val="2"/>
          <w:sz w:val="18"/>
          <w:szCs w:val="22"/>
        </w:rPr>
        <w:t xml:space="preserve">heb ik </w:t>
      </w:r>
      <w:r w:rsidR="00B65AC1">
        <w:rPr>
          <w:rFonts w:ascii="Verdana" w:hAnsi="Verdana" w:cstheme="minorBidi"/>
          <w:color w:val="auto"/>
          <w:kern w:val="2"/>
          <w:sz w:val="18"/>
          <w:szCs w:val="22"/>
        </w:rPr>
        <w:t>het NCJ een</w:t>
      </w:r>
      <w:r w:rsidRPr="008B5D92" w:rsidR="00B65AC1">
        <w:rPr>
          <w:rFonts w:ascii="Verdana" w:hAnsi="Verdana" w:cstheme="minorBidi"/>
          <w:color w:val="auto"/>
          <w:kern w:val="2"/>
          <w:sz w:val="18"/>
          <w:szCs w:val="22"/>
        </w:rPr>
        <w:t xml:space="preserve"> interactieve e-</w:t>
      </w:r>
      <w:proofErr w:type="spellStart"/>
      <w:r w:rsidRPr="008B5D92" w:rsidR="00B65AC1">
        <w:rPr>
          <w:rFonts w:ascii="Verdana" w:hAnsi="Verdana" w:cstheme="minorBidi"/>
          <w:color w:val="auto"/>
          <w:kern w:val="2"/>
          <w:sz w:val="18"/>
          <w:szCs w:val="22"/>
        </w:rPr>
        <w:t>learning</w:t>
      </w:r>
      <w:proofErr w:type="spellEnd"/>
      <w:r w:rsidR="00D4422E">
        <w:rPr>
          <w:rFonts w:ascii="Verdana" w:hAnsi="Verdana" w:cstheme="minorBidi"/>
          <w:color w:val="auto"/>
          <w:kern w:val="2"/>
          <w:sz w:val="18"/>
          <w:szCs w:val="22"/>
        </w:rPr>
        <w:t xml:space="preserve"> </w:t>
      </w:r>
      <w:r w:rsidR="009A4AA0">
        <w:rPr>
          <w:rFonts w:ascii="Verdana" w:hAnsi="Verdana" w:cstheme="minorBidi"/>
          <w:color w:val="auto"/>
          <w:kern w:val="2"/>
          <w:sz w:val="18"/>
          <w:szCs w:val="22"/>
        </w:rPr>
        <w:t xml:space="preserve">laten ontwikkelen </w:t>
      </w:r>
      <w:r w:rsidR="00D4422E">
        <w:rPr>
          <w:rFonts w:ascii="Verdana" w:hAnsi="Verdana" w:cstheme="minorBidi"/>
          <w:color w:val="auto"/>
          <w:kern w:val="2"/>
          <w:sz w:val="18"/>
          <w:szCs w:val="22"/>
        </w:rPr>
        <w:t xml:space="preserve">over de uitvoering van het PHB JGZ </w:t>
      </w:r>
      <w:r w:rsidRPr="008B5D92" w:rsidR="00B65AC1">
        <w:rPr>
          <w:rFonts w:ascii="Verdana" w:hAnsi="Verdana" w:cstheme="minorBidi"/>
          <w:color w:val="auto"/>
          <w:kern w:val="2"/>
          <w:sz w:val="18"/>
          <w:szCs w:val="22"/>
        </w:rPr>
        <w:t>voor alle jeugdverpleegkundigen die het PHB JGZ uitvoeren.</w:t>
      </w:r>
      <w:r w:rsidR="00B65AC1">
        <w:rPr>
          <w:rFonts w:ascii="Verdana" w:hAnsi="Verdana" w:cstheme="minorBidi"/>
          <w:color w:val="auto"/>
          <w:kern w:val="2"/>
          <w:sz w:val="18"/>
          <w:szCs w:val="22"/>
        </w:rPr>
        <w:t xml:space="preserve"> </w:t>
      </w:r>
      <w:r w:rsidRPr="008B5D92" w:rsidR="00B65AC1">
        <w:rPr>
          <w:rFonts w:ascii="Verdana" w:hAnsi="Verdana" w:cstheme="minorBidi"/>
          <w:color w:val="auto"/>
          <w:kern w:val="2"/>
          <w:sz w:val="18"/>
          <w:szCs w:val="22"/>
        </w:rPr>
        <w:t>In de</w:t>
      </w:r>
      <w:r w:rsidR="00B65AC1">
        <w:rPr>
          <w:rFonts w:ascii="Verdana" w:hAnsi="Verdana" w:cstheme="minorBidi"/>
          <w:color w:val="auto"/>
          <w:kern w:val="2"/>
          <w:sz w:val="18"/>
          <w:szCs w:val="22"/>
        </w:rPr>
        <w:t>ze</w:t>
      </w:r>
      <w:r w:rsidRPr="008B5D92" w:rsidR="00B65AC1">
        <w:rPr>
          <w:rFonts w:ascii="Verdana" w:hAnsi="Verdana" w:cstheme="minorBidi"/>
          <w:color w:val="auto"/>
          <w:kern w:val="2"/>
          <w:sz w:val="18"/>
          <w:szCs w:val="22"/>
        </w:rPr>
        <w:t xml:space="preserve"> e-</w:t>
      </w:r>
      <w:proofErr w:type="spellStart"/>
      <w:r w:rsidRPr="008B5D92" w:rsidR="00B65AC1">
        <w:rPr>
          <w:rFonts w:ascii="Verdana" w:hAnsi="Verdana" w:cstheme="minorBidi"/>
          <w:color w:val="auto"/>
          <w:kern w:val="2"/>
          <w:sz w:val="18"/>
          <w:szCs w:val="22"/>
        </w:rPr>
        <w:t>learning</w:t>
      </w:r>
      <w:proofErr w:type="spellEnd"/>
      <w:r w:rsidR="00B65AC1">
        <w:rPr>
          <w:rFonts w:ascii="Verdana" w:hAnsi="Verdana" w:cstheme="minorBidi"/>
          <w:color w:val="auto"/>
          <w:kern w:val="2"/>
          <w:sz w:val="18"/>
          <w:szCs w:val="22"/>
        </w:rPr>
        <w:t xml:space="preserve"> </w:t>
      </w:r>
      <w:r w:rsidRPr="008B5D92" w:rsidR="00B65AC1">
        <w:rPr>
          <w:rFonts w:ascii="Verdana" w:hAnsi="Verdana" w:cstheme="minorBidi"/>
          <w:color w:val="auto"/>
          <w:kern w:val="2"/>
          <w:sz w:val="18"/>
          <w:szCs w:val="22"/>
        </w:rPr>
        <w:t>is aandacht voor het doel en de vorm van het PHB JGZ en wordt de professional aan de hand van een casus door de uitvoer</w:t>
      </w:r>
      <w:r w:rsidR="007E7738">
        <w:rPr>
          <w:rFonts w:ascii="Verdana" w:hAnsi="Verdana" w:cstheme="minorBidi"/>
          <w:color w:val="auto"/>
          <w:kern w:val="2"/>
          <w:sz w:val="18"/>
          <w:szCs w:val="22"/>
        </w:rPr>
        <w:t>ing</w:t>
      </w:r>
      <w:r w:rsidRPr="008B5D92" w:rsidR="00B65AC1">
        <w:rPr>
          <w:rFonts w:ascii="Verdana" w:hAnsi="Verdana" w:cstheme="minorBidi"/>
          <w:color w:val="auto"/>
          <w:kern w:val="2"/>
          <w:sz w:val="18"/>
          <w:szCs w:val="22"/>
        </w:rPr>
        <w:t xml:space="preserve"> van het PHB JGZ geleid.</w:t>
      </w:r>
      <w:r w:rsidR="00B65AC1">
        <w:rPr>
          <w:rFonts w:ascii="Verdana" w:hAnsi="Verdana" w:cstheme="minorBidi"/>
          <w:color w:val="auto"/>
          <w:kern w:val="2"/>
          <w:sz w:val="18"/>
          <w:szCs w:val="22"/>
        </w:rPr>
        <w:t xml:space="preserve"> </w:t>
      </w:r>
      <w:r w:rsidR="0025528E">
        <w:rPr>
          <w:rFonts w:ascii="Verdana" w:hAnsi="Verdana" w:cstheme="minorBidi"/>
          <w:color w:val="auto"/>
          <w:kern w:val="2"/>
          <w:sz w:val="18"/>
          <w:szCs w:val="22"/>
        </w:rPr>
        <w:t>H</w:t>
      </w:r>
      <w:r w:rsidR="00B65AC1">
        <w:rPr>
          <w:rFonts w:ascii="Verdana" w:hAnsi="Verdana" w:cstheme="minorBidi"/>
          <w:color w:val="auto"/>
          <w:kern w:val="2"/>
          <w:sz w:val="18"/>
          <w:szCs w:val="22"/>
        </w:rPr>
        <w:t xml:space="preserve">et NCJ </w:t>
      </w:r>
      <w:r w:rsidR="0025528E">
        <w:rPr>
          <w:rFonts w:ascii="Verdana" w:hAnsi="Verdana" w:cstheme="minorBidi"/>
          <w:color w:val="auto"/>
          <w:kern w:val="2"/>
          <w:sz w:val="18"/>
          <w:szCs w:val="22"/>
        </w:rPr>
        <w:t xml:space="preserve">heeft ook </w:t>
      </w:r>
      <w:r w:rsidR="00B65AC1">
        <w:rPr>
          <w:rFonts w:ascii="Verdana" w:hAnsi="Verdana" w:cstheme="minorBidi"/>
          <w:color w:val="auto"/>
          <w:kern w:val="2"/>
          <w:sz w:val="18"/>
          <w:szCs w:val="22"/>
        </w:rPr>
        <w:t xml:space="preserve">samen met CPZ een workshop met bijbehorend </w:t>
      </w:r>
      <w:proofErr w:type="spellStart"/>
      <w:r w:rsidR="00B65AC1">
        <w:rPr>
          <w:rFonts w:ascii="Verdana" w:hAnsi="Verdana" w:cstheme="minorBidi"/>
          <w:color w:val="auto"/>
          <w:kern w:val="2"/>
          <w:sz w:val="18"/>
          <w:szCs w:val="22"/>
        </w:rPr>
        <w:t>webinar</w:t>
      </w:r>
      <w:proofErr w:type="spellEnd"/>
      <w:r w:rsidR="00B65AC1">
        <w:rPr>
          <w:rFonts w:ascii="Verdana" w:hAnsi="Verdana" w:cstheme="minorBidi"/>
          <w:color w:val="auto"/>
          <w:kern w:val="2"/>
          <w:sz w:val="18"/>
          <w:szCs w:val="22"/>
        </w:rPr>
        <w:t xml:space="preserve"> ontwikkeld</w:t>
      </w:r>
      <w:r w:rsidR="009F5031">
        <w:rPr>
          <w:rFonts w:ascii="Verdana" w:hAnsi="Verdana" w:cstheme="minorBidi"/>
          <w:color w:val="auto"/>
          <w:kern w:val="2"/>
          <w:sz w:val="18"/>
          <w:szCs w:val="22"/>
        </w:rPr>
        <w:t>,</w:t>
      </w:r>
      <w:r w:rsidR="00B65AC1">
        <w:rPr>
          <w:rFonts w:ascii="Verdana" w:hAnsi="Verdana" w:cstheme="minorBidi"/>
          <w:color w:val="auto"/>
          <w:kern w:val="2"/>
          <w:sz w:val="18"/>
          <w:szCs w:val="22"/>
        </w:rPr>
        <w:t xml:space="preserve"> gericht op </w:t>
      </w:r>
      <w:r w:rsidR="006D4ACF">
        <w:rPr>
          <w:rFonts w:ascii="Verdana" w:hAnsi="Verdana" w:cstheme="minorBidi"/>
          <w:color w:val="auto"/>
          <w:kern w:val="2"/>
          <w:sz w:val="18"/>
          <w:szCs w:val="22"/>
        </w:rPr>
        <w:t xml:space="preserve">het informeren van </w:t>
      </w:r>
      <w:r w:rsidRPr="00E93C1E" w:rsidR="006D4ACF">
        <w:rPr>
          <w:rFonts w:ascii="Verdana" w:hAnsi="Verdana" w:cstheme="minorBidi"/>
          <w:color w:val="auto"/>
          <w:kern w:val="2"/>
          <w:sz w:val="18"/>
          <w:szCs w:val="22"/>
        </w:rPr>
        <w:t xml:space="preserve">professionals en </w:t>
      </w:r>
      <w:r w:rsidR="006D4ACF">
        <w:rPr>
          <w:rFonts w:ascii="Verdana" w:hAnsi="Verdana" w:cstheme="minorBidi"/>
          <w:color w:val="auto"/>
          <w:kern w:val="2"/>
          <w:sz w:val="18"/>
          <w:szCs w:val="22"/>
        </w:rPr>
        <w:t xml:space="preserve">het stimuleren van </w:t>
      </w:r>
      <w:r w:rsidRPr="00E93C1E" w:rsidR="006D4ACF">
        <w:rPr>
          <w:rFonts w:ascii="Verdana" w:hAnsi="Verdana" w:cstheme="minorBidi"/>
          <w:color w:val="auto"/>
          <w:kern w:val="2"/>
          <w:sz w:val="18"/>
          <w:szCs w:val="22"/>
        </w:rPr>
        <w:t>de lokale samenwerking voor de implementatie van het prenatale huisbezoek</w:t>
      </w:r>
      <w:r w:rsidR="00B65AC1">
        <w:rPr>
          <w:rFonts w:ascii="Verdana" w:hAnsi="Verdana" w:cstheme="minorBidi"/>
          <w:color w:val="auto"/>
          <w:kern w:val="2"/>
          <w:sz w:val="18"/>
          <w:szCs w:val="22"/>
        </w:rPr>
        <w:t xml:space="preserve">. NCJ en CPZ </w:t>
      </w:r>
      <w:r w:rsidR="00B74376">
        <w:rPr>
          <w:rFonts w:ascii="Verdana" w:hAnsi="Verdana" w:cstheme="minorBidi"/>
          <w:color w:val="auto"/>
          <w:kern w:val="2"/>
          <w:sz w:val="18"/>
          <w:szCs w:val="22"/>
        </w:rPr>
        <w:t xml:space="preserve">gaan </w:t>
      </w:r>
      <w:r w:rsidR="00B65AC1">
        <w:rPr>
          <w:rFonts w:ascii="Verdana" w:hAnsi="Verdana" w:cstheme="minorBidi"/>
          <w:color w:val="auto"/>
          <w:kern w:val="2"/>
          <w:sz w:val="18"/>
          <w:szCs w:val="22"/>
        </w:rPr>
        <w:t>naar aanleiding van deze aanbeveling de e-</w:t>
      </w:r>
      <w:proofErr w:type="spellStart"/>
      <w:r w:rsidR="00B65AC1">
        <w:rPr>
          <w:rFonts w:ascii="Verdana" w:hAnsi="Verdana" w:cstheme="minorBidi"/>
          <w:color w:val="auto"/>
          <w:kern w:val="2"/>
          <w:sz w:val="18"/>
          <w:szCs w:val="22"/>
        </w:rPr>
        <w:t>learning</w:t>
      </w:r>
      <w:proofErr w:type="spellEnd"/>
      <w:r w:rsidR="00B65AC1">
        <w:rPr>
          <w:rFonts w:ascii="Verdana" w:hAnsi="Verdana" w:cstheme="minorBidi"/>
          <w:color w:val="auto"/>
          <w:kern w:val="2"/>
          <w:sz w:val="18"/>
          <w:szCs w:val="22"/>
        </w:rPr>
        <w:t xml:space="preserve"> en de workshop nog actiever verspreiden en onder de aandacht </w:t>
      </w:r>
      <w:r w:rsidR="00B74376">
        <w:rPr>
          <w:rFonts w:ascii="Verdana" w:hAnsi="Verdana" w:cstheme="minorBidi"/>
          <w:color w:val="auto"/>
          <w:kern w:val="2"/>
          <w:sz w:val="18"/>
          <w:szCs w:val="22"/>
        </w:rPr>
        <w:t xml:space="preserve">brengen </w:t>
      </w:r>
      <w:r w:rsidR="00B65AC1">
        <w:rPr>
          <w:rFonts w:ascii="Verdana" w:hAnsi="Verdana" w:cstheme="minorBidi"/>
          <w:color w:val="auto"/>
          <w:kern w:val="2"/>
          <w:sz w:val="18"/>
          <w:szCs w:val="22"/>
        </w:rPr>
        <w:t>van de professionals</w:t>
      </w:r>
      <w:r w:rsidR="00D4422E">
        <w:rPr>
          <w:rFonts w:ascii="Verdana" w:hAnsi="Verdana" w:cstheme="minorBidi"/>
          <w:color w:val="auto"/>
          <w:kern w:val="2"/>
          <w:sz w:val="18"/>
          <w:szCs w:val="22"/>
        </w:rPr>
        <w:t xml:space="preserve">, dit in samenwerking met de federatie van </w:t>
      </w:r>
      <w:r w:rsidR="009F5031">
        <w:rPr>
          <w:rFonts w:ascii="Verdana" w:hAnsi="Verdana" w:cstheme="minorBidi"/>
          <w:color w:val="auto"/>
          <w:kern w:val="2"/>
          <w:sz w:val="18"/>
          <w:szCs w:val="22"/>
        </w:rPr>
        <w:t>Verloskundige Samenwerkingsverbanden (</w:t>
      </w:r>
      <w:proofErr w:type="spellStart"/>
      <w:r w:rsidR="00D4422E">
        <w:rPr>
          <w:rFonts w:ascii="Verdana" w:hAnsi="Verdana" w:cstheme="minorBidi"/>
          <w:color w:val="auto"/>
          <w:kern w:val="2"/>
          <w:sz w:val="18"/>
          <w:szCs w:val="22"/>
        </w:rPr>
        <w:t>VSV’s</w:t>
      </w:r>
      <w:proofErr w:type="spellEnd"/>
      <w:r w:rsidR="009F5031">
        <w:rPr>
          <w:rFonts w:ascii="Verdana" w:hAnsi="Verdana" w:cstheme="minorBidi"/>
          <w:color w:val="auto"/>
          <w:kern w:val="2"/>
          <w:sz w:val="18"/>
          <w:szCs w:val="22"/>
        </w:rPr>
        <w:t>)</w:t>
      </w:r>
      <w:r w:rsidR="00D4422E">
        <w:rPr>
          <w:rFonts w:ascii="Verdana" w:hAnsi="Verdana" w:cstheme="minorBidi"/>
          <w:color w:val="auto"/>
          <w:kern w:val="2"/>
          <w:sz w:val="18"/>
          <w:szCs w:val="22"/>
        </w:rPr>
        <w:t xml:space="preserve">. </w:t>
      </w:r>
      <w:r w:rsidRPr="005C3D6A" w:rsidR="00D4422E">
        <w:rPr>
          <w:rFonts w:ascii="Verdana" w:hAnsi="Verdana" w:cstheme="minorBidi"/>
          <w:color w:val="auto"/>
          <w:kern w:val="2"/>
          <w:sz w:val="18"/>
          <w:szCs w:val="22"/>
        </w:rPr>
        <w:t>W</w:t>
      </w:r>
      <w:r w:rsidRPr="005C3D6A" w:rsidR="00703FFC">
        <w:rPr>
          <w:rFonts w:ascii="Verdana" w:hAnsi="Verdana" w:cstheme="minorBidi"/>
          <w:color w:val="auto"/>
          <w:kern w:val="2"/>
          <w:sz w:val="18"/>
          <w:szCs w:val="22"/>
        </w:rPr>
        <w:t>aar nodig kan het NCJ organisaties en professionals begeleiden bij de workshops</w:t>
      </w:r>
      <w:r w:rsidRPr="005C3D6A" w:rsidR="00D4422E">
        <w:rPr>
          <w:rFonts w:ascii="Verdana" w:hAnsi="Verdana" w:cstheme="minorBidi"/>
          <w:color w:val="auto"/>
          <w:kern w:val="2"/>
          <w:sz w:val="18"/>
          <w:szCs w:val="22"/>
        </w:rPr>
        <w:t xml:space="preserve">, zodat verschillende professionals bij elkaar worden gebracht en zich </w:t>
      </w:r>
      <w:r w:rsidRPr="005C3D6A" w:rsidR="00B74782">
        <w:rPr>
          <w:rFonts w:ascii="Verdana" w:hAnsi="Verdana" w:cstheme="minorBidi"/>
          <w:color w:val="auto"/>
          <w:kern w:val="2"/>
          <w:sz w:val="18"/>
          <w:szCs w:val="22"/>
        </w:rPr>
        <w:t xml:space="preserve">voldoende </w:t>
      </w:r>
      <w:r w:rsidRPr="005C3D6A" w:rsidR="00D4422E">
        <w:rPr>
          <w:rFonts w:ascii="Verdana" w:hAnsi="Verdana" w:cstheme="minorBidi"/>
          <w:color w:val="auto"/>
          <w:kern w:val="2"/>
          <w:sz w:val="18"/>
          <w:szCs w:val="22"/>
        </w:rPr>
        <w:t>toegerust voelen bij de uitvoering van het PHB JGZ</w:t>
      </w:r>
      <w:r w:rsidRPr="005C3D6A" w:rsidR="00703FFC">
        <w:rPr>
          <w:rFonts w:ascii="Verdana" w:hAnsi="Verdana" w:cstheme="minorBidi"/>
          <w:color w:val="auto"/>
          <w:kern w:val="2"/>
          <w:sz w:val="18"/>
          <w:szCs w:val="22"/>
        </w:rPr>
        <w:t>.</w:t>
      </w:r>
      <w:r w:rsidR="00D4422E">
        <w:rPr>
          <w:rFonts w:ascii="Verdana" w:hAnsi="Verdana" w:cstheme="minorBidi"/>
          <w:color w:val="auto"/>
          <w:kern w:val="2"/>
          <w:sz w:val="18"/>
          <w:szCs w:val="22"/>
        </w:rPr>
        <w:t xml:space="preserve"> </w:t>
      </w:r>
      <w:r w:rsidRPr="00565E3F" w:rsidR="00F708C6">
        <w:rPr>
          <w:rFonts w:ascii="Verdana" w:hAnsi="Verdana" w:cstheme="minorBidi"/>
          <w:color w:val="auto"/>
          <w:kern w:val="2"/>
          <w:sz w:val="18"/>
          <w:szCs w:val="22"/>
        </w:rPr>
        <w:t>In het afgelopen jaar zijn er</w:t>
      </w:r>
      <w:r w:rsidR="00D4422E">
        <w:rPr>
          <w:rFonts w:ascii="Verdana" w:hAnsi="Verdana" w:cstheme="minorBidi"/>
          <w:color w:val="auto"/>
          <w:kern w:val="2"/>
          <w:sz w:val="18"/>
          <w:szCs w:val="22"/>
        </w:rPr>
        <w:t xml:space="preserve"> </w:t>
      </w:r>
      <w:r w:rsidR="00B74376">
        <w:rPr>
          <w:rFonts w:ascii="Verdana" w:hAnsi="Verdana" w:cstheme="minorBidi"/>
          <w:color w:val="auto"/>
          <w:kern w:val="2"/>
          <w:sz w:val="18"/>
          <w:szCs w:val="22"/>
        </w:rPr>
        <w:t>ook</w:t>
      </w:r>
      <w:r w:rsidRPr="00565E3F" w:rsidR="00B74376">
        <w:rPr>
          <w:rFonts w:ascii="Verdana" w:hAnsi="Verdana" w:cstheme="minorBidi"/>
          <w:color w:val="auto"/>
          <w:kern w:val="2"/>
          <w:sz w:val="18"/>
          <w:szCs w:val="22"/>
        </w:rPr>
        <w:t xml:space="preserve"> </w:t>
      </w:r>
      <w:r w:rsidRPr="00565E3F" w:rsidR="00F708C6">
        <w:rPr>
          <w:rFonts w:ascii="Verdana" w:hAnsi="Verdana" w:cstheme="minorBidi"/>
          <w:color w:val="auto"/>
          <w:kern w:val="2"/>
          <w:sz w:val="18"/>
          <w:szCs w:val="22"/>
        </w:rPr>
        <w:t xml:space="preserve">verdiepende gesprekken gevoerd met beroepsverenigingen, professionals, gemeenten en lokale coalities </w:t>
      </w:r>
      <w:r w:rsidR="00B74376">
        <w:rPr>
          <w:rFonts w:ascii="Verdana" w:hAnsi="Verdana" w:cstheme="minorBidi"/>
          <w:color w:val="auto"/>
          <w:kern w:val="2"/>
          <w:sz w:val="18"/>
          <w:szCs w:val="22"/>
        </w:rPr>
        <w:t>over</w:t>
      </w:r>
      <w:r w:rsidRPr="00565E3F" w:rsidR="00B74376">
        <w:rPr>
          <w:rFonts w:ascii="Verdana" w:hAnsi="Verdana" w:cstheme="minorBidi"/>
          <w:color w:val="auto"/>
          <w:kern w:val="2"/>
          <w:sz w:val="18"/>
          <w:szCs w:val="22"/>
        </w:rPr>
        <w:t xml:space="preserve"> </w:t>
      </w:r>
      <w:r w:rsidRPr="00565E3F" w:rsidR="00F708C6">
        <w:rPr>
          <w:rFonts w:ascii="Verdana" w:hAnsi="Verdana" w:cstheme="minorBidi"/>
          <w:color w:val="auto"/>
          <w:kern w:val="2"/>
          <w:sz w:val="18"/>
          <w:szCs w:val="22"/>
        </w:rPr>
        <w:t>de behoeftes</w:t>
      </w:r>
      <w:r w:rsidRPr="00565E3F" w:rsidR="00F708C6">
        <w:rPr>
          <w:rFonts w:ascii="Verdana" w:hAnsi="Verdana" w:cstheme="minorBidi"/>
          <w:color w:val="auto"/>
          <w:kern w:val="2"/>
          <w:szCs w:val="22"/>
        </w:rPr>
        <w:t xml:space="preserve"> </w:t>
      </w:r>
      <w:r w:rsidR="00F708C6">
        <w:rPr>
          <w:rFonts w:ascii="Verdana" w:hAnsi="Verdana" w:cstheme="minorBidi"/>
          <w:color w:val="auto"/>
          <w:kern w:val="2"/>
          <w:sz w:val="18"/>
          <w:szCs w:val="22"/>
        </w:rPr>
        <w:t xml:space="preserve">van professionals </w:t>
      </w:r>
      <w:r w:rsidRPr="00565E3F" w:rsidR="00F708C6">
        <w:rPr>
          <w:rFonts w:ascii="Verdana" w:hAnsi="Verdana" w:cstheme="minorBidi"/>
          <w:color w:val="auto"/>
          <w:kern w:val="2"/>
          <w:sz w:val="18"/>
          <w:szCs w:val="22"/>
        </w:rPr>
        <w:t>ten aanzien van</w:t>
      </w:r>
      <w:r w:rsidR="00F708C6">
        <w:rPr>
          <w:rFonts w:ascii="Verdana" w:hAnsi="Verdana" w:cstheme="minorBidi"/>
          <w:color w:val="auto"/>
          <w:kern w:val="2"/>
          <w:sz w:val="18"/>
          <w:szCs w:val="22"/>
        </w:rPr>
        <w:t xml:space="preserve"> het versterken van hun signalerende- en gespreksvaardigheden</w:t>
      </w:r>
      <w:r w:rsidRPr="00565E3F" w:rsidR="00F708C6">
        <w:rPr>
          <w:rFonts w:ascii="Verdana" w:hAnsi="Verdana" w:cstheme="minorBidi"/>
          <w:color w:val="auto"/>
          <w:kern w:val="2"/>
          <w:sz w:val="18"/>
          <w:szCs w:val="22"/>
        </w:rPr>
        <w:t xml:space="preserve">. </w:t>
      </w:r>
      <w:r w:rsidR="00F708C6">
        <w:rPr>
          <w:rFonts w:ascii="Verdana" w:hAnsi="Verdana" w:cstheme="minorBidi"/>
          <w:color w:val="auto"/>
          <w:kern w:val="2"/>
          <w:sz w:val="18"/>
          <w:szCs w:val="22"/>
        </w:rPr>
        <w:t xml:space="preserve">Deze behoeftes worden meegenomen in de bijscholing </w:t>
      </w:r>
      <w:r w:rsidR="006A2B47">
        <w:rPr>
          <w:rFonts w:ascii="Verdana" w:hAnsi="Verdana" w:cstheme="minorBidi"/>
          <w:color w:val="auto"/>
          <w:kern w:val="2"/>
          <w:sz w:val="18"/>
          <w:szCs w:val="22"/>
        </w:rPr>
        <w:t xml:space="preserve">over </w:t>
      </w:r>
      <w:r w:rsidR="00F708C6">
        <w:rPr>
          <w:rFonts w:ascii="Verdana" w:hAnsi="Verdana" w:cstheme="minorBidi"/>
          <w:color w:val="auto"/>
          <w:kern w:val="2"/>
          <w:sz w:val="18"/>
          <w:szCs w:val="22"/>
        </w:rPr>
        <w:t xml:space="preserve">de </w:t>
      </w:r>
      <w:r w:rsidR="009F5031">
        <w:rPr>
          <w:rFonts w:ascii="Verdana" w:hAnsi="Verdana" w:cstheme="minorBidi"/>
          <w:color w:val="auto"/>
          <w:kern w:val="2"/>
          <w:sz w:val="18"/>
          <w:szCs w:val="22"/>
        </w:rPr>
        <w:t>eerste</w:t>
      </w:r>
      <w:r w:rsidR="00913C2B">
        <w:rPr>
          <w:rFonts w:ascii="Verdana" w:hAnsi="Verdana" w:cstheme="minorBidi"/>
          <w:color w:val="auto"/>
          <w:kern w:val="2"/>
          <w:sz w:val="18"/>
          <w:szCs w:val="22"/>
        </w:rPr>
        <w:t xml:space="preserve"> </w:t>
      </w:r>
      <w:r w:rsidR="00F708C6">
        <w:rPr>
          <w:rFonts w:ascii="Verdana" w:hAnsi="Verdana" w:cstheme="minorBidi"/>
          <w:color w:val="auto"/>
          <w:kern w:val="2"/>
          <w:sz w:val="18"/>
          <w:szCs w:val="22"/>
        </w:rPr>
        <w:t>1000 dagen van een kind</w:t>
      </w:r>
      <w:r w:rsidR="0025528E">
        <w:rPr>
          <w:rFonts w:ascii="Verdana" w:hAnsi="Verdana" w:cstheme="minorBidi"/>
          <w:color w:val="auto"/>
          <w:kern w:val="2"/>
          <w:sz w:val="18"/>
          <w:szCs w:val="22"/>
        </w:rPr>
        <w:t xml:space="preserve"> die op dit moment in ontwikkeling is</w:t>
      </w:r>
      <w:r w:rsidR="00F708C6">
        <w:rPr>
          <w:rFonts w:ascii="Verdana" w:hAnsi="Verdana" w:cstheme="minorBidi"/>
          <w:color w:val="auto"/>
          <w:kern w:val="2"/>
          <w:sz w:val="18"/>
          <w:szCs w:val="22"/>
        </w:rPr>
        <w:t xml:space="preserve">, waarbij in ieder geval ook aandacht zal zijn voor signaleren en sensitieve gespreksvaardigheden. </w:t>
      </w:r>
      <w:r w:rsidR="00565E3F">
        <w:rPr>
          <w:rFonts w:ascii="Verdana" w:hAnsi="Verdana" w:cstheme="minorBidi"/>
          <w:color w:val="auto"/>
          <w:kern w:val="2"/>
          <w:sz w:val="18"/>
          <w:szCs w:val="22"/>
        </w:rPr>
        <w:t xml:space="preserve">Ten slotte </w:t>
      </w:r>
      <w:r w:rsidR="006A2B47">
        <w:rPr>
          <w:rFonts w:ascii="Verdana" w:hAnsi="Verdana" w:cstheme="minorBidi"/>
          <w:color w:val="auto"/>
          <w:kern w:val="2"/>
          <w:sz w:val="18"/>
          <w:szCs w:val="22"/>
        </w:rPr>
        <w:t xml:space="preserve">wordt </w:t>
      </w:r>
      <w:r w:rsidR="00F708C6">
        <w:rPr>
          <w:rFonts w:ascii="Verdana" w:hAnsi="Verdana" w:cstheme="minorBidi"/>
          <w:color w:val="auto"/>
          <w:kern w:val="2"/>
          <w:sz w:val="18"/>
          <w:szCs w:val="22"/>
        </w:rPr>
        <w:t xml:space="preserve">met de KNOV, de </w:t>
      </w:r>
      <w:r w:rsidRPr="009F5031" w:rsidR="009F5031">
        <w:rPr>
          <w:rFonts w:ascii="Verdana" w:hAnsi="Verdana" w:cstheme="minorBidi"/>
          <w:color w:val="auto"/>
          <w:kern w:val="2"/>
          <w:sz w:val="18"/>
          <w:szCs w:val="22"/>
        </w:rPr>
        <w:t xml:space="preserve">Nederlandse Vereniging voor Obstetrie en Gynaecologie </w:t>
      </w:r>
      <w:r w:rsidR="009F5031">
        <w:rPr>
          <w:rFonts w:ascii="Verdana" w:hAnsi="Verdana" w:cstheme="minorBidi"/>
          <w:color w:val="auto"/>
          <w:kern w:val="2"/>
          <w:sz w:val="18"/>
          <w:szCs w:val="22"/>
        </w:rPr>
        <w:t>(</w:t>
      </w:r>
      <w:r w:rsidR="00F708C6">
        <w:rPr>
          <w:rFonts w:ascii="Verdana" w:hAnsi="Verdana" w:cstheme="minorBidi"/>
          <w:color w:val="auto"/>
          <w:kern w:val="2"/>
          <w:sz w:val="18"/>
          <w:szCs w:val="22"/>
        </w:rPr>
        <w:t>NVOG</w:t>
      </w:r>
      <w:r w:rsidR="009F5031">
        <w:rPr>
          <w:rFonts w:ascii="Verdana" w:hAnsi="Verdana" w:cstheme="minorBidi"/>
          <w:color w:val="auto"/>
          <w:kern w:val="2"/>
          <w:sz w:val="18"/>
          <w:szCs w:val="22"/>
        </w:rPr>
        <w:t>)</w:t>
      </w:r>
      <w:r w:rsidR="00F708C6">
        <w:rPr>
          <w:rFonts w:ascii="Verdana" w:hAnsi="Verdana" w:cstheme="minorBidi"/>
          <w:color w:val="auto"/>
          <w:kern w:val="2"/>
          <w:sz w:val="18"/>
          <w:szCs w:val="22"/>
        </w:rPr>
        <w:t xml:space="preserve"> en de</w:t>
      </w:r>
      <w:r w:rsidR="002C208C">
        <w:rPr>
          <w:rFonts w:ascii="Verdana" w:hAnsi="Verdana" w:cstheme="minorBidi"/>
          <w:color w:val="auto"/>
          <w:kern w:val="2"/>
          <w:sz w:val="18"/>
          <w:szCs w:val="22"/>
        </w:rPr>
        <w:t xml:space="preserve"> Federatie van</w:t>
      </w:r>
      <w:r w:rsidR="00F708C6">
        <w:rPr>
          <w:rFonts w:ascii="Verdana" w:hAnsi="Verdana" w:cstheme="minorBidi"/>
          <w:color w:val="auto"/>
          <w:kern w:val="2"/>
          <w:sz w:val="18"/>
          <w:szCs w:val="22"/>
        </w:rPr>
        <w:t xml:space="preserve"> </w:t>
      </w:r>
      <w:proofErr w:type="spellStart"/>
      <w:r w:rsidR="00F708C6">
        <w:rPr>
          <w:rFonts w:ascii="Verdana" w:hAnsi="Verdana" w:cstheme="minorBidi"/>
          <w:color w:val="auto"/>
          <w:kern w:val="2"/>
          <w:sz w:val="18"/>
          <w:szCs w:val="22"/>
        </w:rPr>
        <w:t>VSV’s</w:t>
      </w:r>
      <w:proofErr w:type="spellEnd"/>
      <w:r w:rsidR="00F708C6">
        <w:rPr>
          <w:rFonts w:ascii="Verdana" w:hAnsi="Verdana" w:cstheme="minorBidi"/>
          <w:color w:val="auto"/>
          <w:kern w:val="2"/>
          <w:sz w:val="18"/>
          <w:szCs w:val="22"/>
        </w:rPr>
        <w:t xml:space="preserve"> gesproken over </w:t>
      </w:r>
      <w:r w:rsidR="00390BF5">
        <w:rPr>
          <w:rFonts w:ascii="Verdana" w:hAnsi="Verdana" w:cstheme="minorBidi"/>
          <w:color w:val="auto"/>
          <w:kern w:val="2"/>
          <w:sz w:val="18"/>
          <w:szCs w:val="22"/>
        </w:rPr>
        <w:t xml:space="preserve">de inhoud en het belang van het PHB JGZ, </w:t>
      </w:r>
      <w:r w:rsidR="00D4422E">
        <w:rPr>
          <w:rFonts w:ascii="Verdana" w:hAnsi="Verdana" w:cstheme="minorBidi"/>
          <w:color w:val="auto"/>
          <w:kern w:val="2"/>
          <w:sz w:val="18"/>
          <w:szCs w:val="22"/>
        </w:rPr>
        <w:t>hoe wordt ingezet op gespreksvaardigheden bij signalerende professionals</w:t>
      </w:r>
      <w:r w:rsidR="00B13C37">
        <w:rPr>
          <w:rFonts w:ascii="Verdana" w:hAnsi="Verdana" w:cstheme="minorBidi"/>
          <w:color w:val="auto"/>
          <w:kern w:val="2"/>
          <w:sz w:val="18"/>
          <w:szCs w:val="22"/>
        </w:rPr>
        <w:t xml:space="preserve">, </w:t>
      </w:r>
      <w:r w:rsidR="006A2B47">
        <w:rPr>
          <w:rFonts w:ascii="Verdana" w:hAnsi="Verdana" w:cstheme="minorBidi"/>
          <w:color w:val="auto"/>
          <w:kern w:val="2"/>
          <w:sz w:val="18"/>
          <w:szCs w:val="22"/>
        </w:rPr>
        <w:t xml:space="preserve">ook </w:t>
      </w:r>
      <w:r w:rsidR="00B13C37">
        <w:rPr>
          <w:rFonts w:ascii="Verdana" w:hAnsi="Verdana" w:cstheme="minorBidi"/>
          <w:color w:val="auto"/>
          <w:kern w:val="2"/>
          <w:sz w:val="18"/>
          <w:szCs w:val="22"/>
        </w:rPr>
        <w:t>gelet op de krapte op de arbeidsmarkt en de werkdruk hetgeen een belemmering kan zijn voor het volgen van scholingen,</w:t>
      </w:r>
      <w:r w:rsidR="00D4422E">
        <w:rPr>
          <w:rFonts w:ascii="Verdana" w:hAnsi="Verdana" w:cstheme="minorBidi"/>
          <w:color w:val="auto"/>
          <w:kern w:val="2"/>
          <w:sz w:val="18"/>
          <w:szCs w:val="22"/>
        </w:rPr>
        <w:t xml:space="preserve"> en over </w:t>
      </w:r>
      <w:r w:rsidR="00F708C6">
        <w:rPr>
          <w:rFonts w:ascii="Verdana" w:hAnsi="Verdana" w:cstheme="minorBidi"/>
          <w:color w:val="auto"/>
          <w:kern w:val="2"/>
          <w:sz w:val="18"/>
          <w:szCs w:val="22"/>
        </w:rPr>
        <w:t>het belang van het gebruik van signaleringsinstrumenten en het maken van afspraken hierover op lokaal of regionaal niveau.</w:t>
      </w:r>
      <w:r w:rsidR="003F62E1">
        <w:rPr>
          <w:rFonts w:ascii="Verdana" w:hAnsi="Verdana" w:cstheme="minorBidi"/>
          <w:color w:val="auto"/>
          <w:kern w:val="2"/>
          <w:sz w:val="18"/>
          <w:szCs w:val="22"/>
        </w:rPr>
        <w:t xml:space="preserve"> </w:t>
      </w:r>
    </w:p>
    <w:p w:rsidRPr="00366382" w:rsidR="009F5031" w:rsidP="00A77530" w:rsidRDefault="009F5031" w14:paraId="56E35E86" w14:textId="77777777">
      <w:pPr>
        <w:pStyle w:val="Default"/>
        <w:spacing w:after="69"/>
        <w:rPr>
          <w:rFonts w:ascii="Verdana" w:hAnsi="Verdana" w:cstheme="minorBidi"/>
          <w:color w:val="auto"/>
          <w:kern w:val="2"/>
          <w:sz w:val="18"/>
          <w:szCs w:val="22"/>
        </w:rPr>
      </w:pPr>
    </w:p>
    <w:p w:rsidRPr="009172B1" w:rsidR="00A77530" w:rsidP="00A77530" w:rsidRDefault="00A77530" w14:paraId="5084D70A" w14:textId="77777777">
      <w:pPr>
        <w:pStyle w:val="Default"/>
        <w:spacing w:after="69"/>
        <w:rPr>
          <w:rFonts w:ascii="Verdana" w:hAnsi="Verdana" w:cstheme="minorBidi"/>
          <w:color w:val="auto"/>
          <w:kern w:val="2"/>
          <w:sz w:val="18"/>
          <w:szCs w:val="22"/>
        </w:rPr>
      </w:pPr>
    </w:p>
    <w:p w:rsidRPr="00281454" w:rsidR="00A77530" w:rsidP="00A77530" w:rsidRDefault="005225E2" w14:paraId="133A6C88" w14:textId="49723E2B">
      <w:pPr>
        <w:pStyle w:val="Default"/>
        <w:rPr>
          <w:rFonts w:ascii="Verdana" w:hAnsi="Verdana" w:cstheme="minorBidi"/>
          <w:i/>
          <w:iCs/>
          <w:color w:val="auto"/>
          <w:kern w:val="2"/>
          <w:sz w:val="18"/>
          <w:szCs w:val="22"/>
        </w:rPr>
      </w:pPr>
      <w:r>
        <w:rPr>
          <w:rFonts w:ascii="Verdana" w:hAnsi="Verdana" w:cstheme="minorBidi"/>
          <w:i/>
          <w:iCs/>
          <w:color w:val="auto"/>
          <w:kern w:val="2"/>
          <w:sz w:val="18"/>
          <w:szCs w:val="22"/>
        </w:rPr>
        <w:lastRenderedPageBreak/>
        <w:t xml:space="preserve">Aanbeveling </w:t>
      </w:r>
      <w:r w:rsidRPr="00281454" w:rsidR="00A77530">
        <w:rPr>
          <w:rFonts w:ascii="Verdana" w:hAnsi="Verdana" w:cstheme="minorBidi"/>
          <w:i/>
          <w:iCs/>
          <w:color w:val="auto"/>
          <w:kern w:val="2"/>
          <w:sz w:val="18"/>
          <w:szCs w:val="22"/>
        </w:rPr>
        <w:t>4</w:t>
      </w:r>
      <w:r>
        <w:rPr>
          <w:rFonts w:ascii="Verdana" w:hAnsi="Verdana" w:cstheme="minorBidi"/>
          <w:i/>
          <w:iCs/>
          <w:color w:val="auto"/>
          <w:kern w:val="2"/>
          <w:sz w:val="18"/>
          <w:szCs w:val="22"/>
        </w:rPr>
        <w:t>:</w:t>
      </w:r>
      <w:r w:rsidRPr="00281454" w:rsidR="00A77530">
        <w:rPr>
          <w:rFonts w:ascii="Verdana" w:hAnsi="Verdana" w:cstheme="minorBidi"/>
          <w:i/>
          <w:iCs/>
          <w:color w:val="auto"/>
          <w:kern w:val="2"/>
          <w:sz w:val="18"/>
          <w:szCs w:val="22"/>
        </w:rPr>
        <w:t xml:space="preserve"> Zet in op beschikbaarheid van vervolgaanbod </w:t>
      </w:r>
    </w:p>
    <w:p w:rsidR="00A77530" w:rsidP="00A77530" w:rsidRDefault="00A77530" w14:paraId="43626556" w14:textId="51144F39">
      <w:r w:rsidRPr="002F1EF1">
        <w:t xml:space="preserve">Middels een specifieke uitkering </w:t>
      </w:r>
      <w:r w:rsidR="00FB6ECB">
        <w:t xml:space="preserve">(SPUK) </w:t>
      </w:r>
      <w:r w:rsidRPr="002F1EF1">
        <w:t>voor preventie kunnen gemeenten financiering aanvragen voor passende interventies, onder andere voor het vervolgaanbod na een PHB</w:t>
      </w:r>
      <w:r w:rsidR="00E93C1E">
        <w:t xml:space="preserve"> JGZ</w:t>
      </w:r>
      <w:r w:rsidRPr="002F1EF1">
        <w:t xml:space="preserve">. De kwaliteit van ondersteuning die (aanstaande) ouders in een kwetsbare situatie geboden wordt, is momenteel van de woonplaats afhankelijk, omdat het aanbod van interventies zoals Stevig Ouderschap en </w:t>
      </w:r>
      <w:proofErr w:type="spellStart"/>
      <w:r w:rsidRPr="002F1EF1">
        <w:t>VoorZorg</w:t>
      </w:r>
      <w:proofErr w:type="spellEnd"/>
      <w:r w:rsidRPr="002F1EF1">
        <w:t xml:space="preserve"> per gemeente kan verschillen en niet in elke gemeente wordt ingekocht. Ook opvolging buiten het JGZ-domein, bijvoorbeeld in het sociaal domein of psychische hulpverlening, is niet altijd goed geregeld. Er worden nog niet altijd afspraken gemaakt in lokale coalities over het vervolgaanbod.</w:t>
      </w:r>
      <w:r>
        <w:br/>
      </w:r>
    </w:p>
    <w:p w:rsidR="00A77530" w:rsidP="00B13C37" w:rsidRDefault="00A77530" w14:paraId="30D67C78" w14:textId="0A1A61DF">
      <w:pPr>
        <w:rPr>
          <w:rFonts w:cstheme="minorBidi"/>
          <w:color w:val="auto"/>
          <w:kern w:val="2"/>
          <w:szCs w:val="22"/>
        </w:rPr>
      </w:pPr>
      <w:r w:rsidRPr="002F1EF1">
        <w:rPr>
          <w:rFonts w:cstheme="minorBidi"/>
          <w:color w:val="auto"/>
          <w:kern w:val="2"/>
          <w:szCs w:val="22"/>
        </w:rPr>
        <w:t xml:space="preserve">Actie: </w:t>
      </w:r>
      <w:r w:rsidR="00CD1E7B">
        <w:rPr>
          <w:rFonts w:cstheme="minorBidi"/>
          <w:color w:val="auto"/>
          <w:kern w:val="2"/>
          <w:szCs w:val="22"/>
        </w:rPr>
        <w:t xml:space="preserve">In overleg met </w:t>
      </w:r>
      <w:r w:rsidR="00B13C37">
        <w:rPr>
          <w:rFonts w:cstheme="minorBidi"/>
          <w:color w:val="auto"/>
          <w:kern w:val="2"/>
          <w:szCs w:val="22"/>
        </w:rPr>
        <w:t xml:space="preserve">gemeenten </w:t>
      </w:r>
      <w:r w:rsidR="00CD1E7B">
        <w:rPr>
          <w:rFonts w:cstheme="minorBidi"/>
          <w:color w:val="auto"/>
          <w:kern w:val="2"/>
          <w:szCs w:val="22"/>
        </w:rPr>
        <w:t>zal d</w:t>
      </w:r>
      <w:r w:rsidR="00281454">
        <w:rPr>
          <w:rFonts w:cstheme="minorBidi"/>
          <w:color w:val="auto"/>
          <w:kern w:val="2"/>
          <w:szCs w:val="22"/>
        </w:rPr>
        <w:t xml:space="preserve">e VNG het belang van het PHB JGZ en </w:t>
      </w:r>
      <w:r w:rsidR="00040FF0">
        <w:rPr>
          <w:rFonts w:cstheme="minorBidi"/>
          <w:color w:val="auto"/>
          <w:kern w:val="2"/>
          <w:szCs w:val="22"/>
        </w:rPr>
        <w:t xml:space="preserve">de </w:t>
      </w:r>
      <w:r w:rsidR="00281454">
        <w:rPr>
          <w:rFonts w:cstheme="minorBidi"/>
          <w:color w:val="auto"/>
          <w:kern w:val="2"/>
          <w:szCs w:val="22"/>
        </w:rPr>
        <w:t>beschikbaar</w:t>
      </w:r>
      <w:r w:rsidR="0025528E">
        <w:rPr>
          <w:rFonts w:cstheme="minorBidi"/>
          <w:color w:val="auto"/>
          <w:kern w:val="2"/>
          <w:szCs w:val="22"/>
        </w:rPr>
        <w:t>heid</w:t>
      </w:r>
      <w:r w:rsidR="00281454">
        <w:rPr>
          <w:rFonts w:cstheme="minorBidi"/>
          <w:color w:val="auto"/>
          <w:kern w:val="2"/>
          <w:szCs w:val="22"/>
        </w:rPr>
        <w:t xml:space="preserve"> </w:t>
      </w:r>
      <w:r w:rsidR="00040FF0">
        <w:rPr>
          <w:rFonts w:cstheme="minorBidi"/>
          <w:color w:val="auto"/>
          <w:kern w:val="2"/>
          <w:szCs w:val="22"/>
        </w:rPr>
        <w:t xml:space="preserve">van een passend </w:t>
      </w:r>
      <w:r w:rsidR="00281454">
        <w:rPr>
          <w:rFonts w:cstheme="minorBidi"/>
          <w:color w:val="auto"/>
          <w:kern w:val="2"/>
          <w:szCs w:val="22"/>
        </w:rPr>
        <w:t>vervolgaanbod</w:t>
      </w:r>
      <w:r w:rsidR="00E250C9">
        <w:rPr>
          <w:rFonts w:cstheme="minorBidi"/>
          <w:color w:val="auto"/>
          <w:kern w:val="2"/>
          <w:szCs w:val="22"/>
        </w:rPr>
        <w:t xml:space="preserve">, waarbij ook kan worden gedacht aan </w:t>
      </w:r>
      <w:r w:rsidR="003D4F8C">
        <w:rPr>
          <w:rFonts w:cstheme="minorBidi"/>
          <w:color w:val="auto"/>
          <w:kern w:val="2"/>
          <w:szCs w:val="22"/>
        </w:rPr>
        <w:t xml:space="preserve">ondersteuning of hulp bij schulden, armoede of </w:t>
      </w:r>
      <w:r w:rsidR="00E250C9">
        <w:rPr>
          <w:rFonts w:cstheme="minorBidi"/>
          <w:color w:val="auto"/>
          <w:kern w:val="2"/>
          <w:szCs w:val="22"/>
        </w:rPr>
        <w:t>psychische hulpverlening,</w:t>
      </w:r>
      <w:r w:rsidR="00281454">
        <w:rPr>
          <w:rFonts w:cstheme="minorBidi"/>
          <w:color w:val="auto"/>
          <w:kern w:val="2"/>
          <w:szCs w:val="22"/>
        </w:rPr>
        <w:t xml:space="preserve"> onder de aandacht brengen</w:t>
      </w:r>
      <w:r w:rsidR="00565E3F">
        <w:rPr>
          <w:rFonts w:cstheme="minorBidi"/>
          <w:color w:val="auto"/>
          <w:kern w:val="2"/>
          <w:szCs w:val="22"/>
        </w:rPr>
        <w:t xml:space="preserve"> van haar leden</w:t>
      </w:r>
      <w:r w:rsidR="00281454">
        <w:rPr>
          <w:rFonts w:cstheme="minorBidi"/>
          <w:color w:val="auto"/>
          <w:kern w:val="2"/>
          <w:szCs w:val="22"/>
        </w:rPr>
        <w:t xml:space="preserve">. </w:t>
      </w:r>
      <w:r w:rsidRPr="00B13C37" w:rsidR="00B13C37">
        <w:rPr>
          <w:rFonts w:cstheme="minorBidi"/>
          <w:color w:val="auto"/>
          <w:kern w:val="2"/>
          <w:szCs w:val="22"/>
        </w:rPr>
        <w:t>Bij voorkeur worden afspraken over een passend vervolgaanbod in de lokale coalitie gemaakt en worden ook afspraken gemaakt over de evaluatie ervan.</w:t>
      </w:r>
      <w:r w:rsidR="002D2401">
        <w:rPr>
          <w:rFonts w:cstheme="minorBidi"/>
          <w:color w:val="auto"/>
          <w:kern w:val="2"/>
          <w:szCs w:val="22"/>
        </w:rPr>
        <w:t xml:space="preserve"> </w:t>
      </w:r>
      <w:proofErr w:type="spellStart"/>
      <w:r w:rsidRPr="002D2401" w:rsidR="002D2401">
        <w:rPr>
          <w:rFonts w:cstheme="minorBidi"/>
          <w:color w:val="auto"/>
          <w:kern w:val="2"/>
          <w:szCs w:val="22"/>
        </w:rPr>
        <w:t>Pharos</w:t>
      </w:r>
      <w:proofErr w:type="spellEnd"/>
      <w:r w:rsidRPr="002D2401" w:rsidR="002D2401">
        <w:rPr>
          <w:rFonts w:cstheme="minorBidi"/>
          <w:color w:val="auto"/>
          <w:kern w:val="2"/>
          <w:szCs w:val="22"/>
        </w:rPr>
        <w:t xml:space="preserve"> wijst de coalities, waar van toepassing, op het loket gezond leven voor passende interventies bij de lokale vraagstukken. </w:t>
      </w:r>
      <w:r w:rsidR="006A2B47">
        <w:rPr>
          <w:rFonts w:cstheme="minorBidi"/>
          <w:color w:val="auto"/>
          <w:kern w:val="2"/>
          <w:szCs w:val="22"/>
        </w:rPr>
        <w:t>Ook</w:t>
      </w:r>
      <w:r w:rsidRPr="00B13C37" w:rsidR="006A2B47">
        <w:rPr>
          <w:rFonts w:cstheme="minorBidi"/>
          <w:color w:val="auto"/>
          <w:kern w:val="2"/>
          <w:szCs w:val="22"/>
        </w:rPr>
        <w:t xml:space="preserve"> </w:t>
      </w:r>
      <w:r w:rsidRPr="00B13C37" w:rsidR="00B13C37">
        <w:rPr>
          <w:rFonts w:cstheme="minorBidi"/>
          <w:color w:val="auto"/>
          <w:kern w:val="2"/>
          <w:szCs w:val="22"/>
        </w:rPr>
        <w:t xml:space="preserve">kan worden gekeken naar </w:t>
      </w:r>
      <w:r>
        <w:rPr>
          <w:rFonts w:cstheme="minorBidi"/>
          <w:color w:val="auto"/>
          <w:kern w:val="2"/>
          <w:szCs w:val="22"/>
        </w:rPr>
        <w:t xml:space="preserve">de </w:t>
      </w:r>
      <w:r w:rsidR="009A4AA0">
        <w:rPr>
          <w:rFonts w:cstheme="minorBidi"/>
          <w:color w:val="auto"/>
          <w:kern w:val="2"/>
          <w:szCs w:val="22"/>
        </w:rPr>
        <w:t xml:space="preserve">eerder in opdracht van mij ontwikkelde </w:t>
      </w:r>
      <w:r>
        <w:rPr>
          <w:rFonts w:cstheme="minorBidi"/>
          <w:color w:val="auto"/>
          <w:kern w:val="2"/>
          <w:szCs w:val="22"/>
        </w:rPr>
        <w:t>handreiking van het NCJ waarin een kader voor passende vervolgtrajecten is opgenomen. Of en welk vervolgaanbod wordt aangeboden en welke interventies worden ingekocht</w:t>
      </w:r>
      <w:r w:rsidR="00040FF0">
        <w:rPr>
          <w:rFonts w:cstheme="minorBidi"/>
          <w:color w:val="auto"/>
          <w:kern w:val="2"/>
          <w:szCs w:val="22"/>
        </w:rPr>
        <w:t xml:space="preserve"> bepaalt een gemeente echter zelf. </w:t>
      </w:r>
    </w:p>
    <w:p w:rsidRPr="00281454" w:rsidR="00A77530" w:rsidP="00A77530" w:rsidRDefault="00A77530" w14:paraId="2F71D479" w14:textId="77777777">
      <w:pPr>
        <w:pStyle w:val="Default"/>
        <w:rPr>
          <w:rFonts w:ascii="Verdana" w:hAnsi="Verdana" w:cstheme="minorBidi"/>
          <w:i/>
          <w:iCs/>
          <w:color w:val="auto"/>
          <w:kern w:val="2"/>
          <w:sz w:val="18"/>
          <w:szCs w:val="22"/>
        </w:rPr>
      </w:pPr>
    </w:p>
    <w:p w:rsidRPr="00281454" w:rsidR="00A77530" w:rsidP="00A77530" w:rsidRDefault="005225E2" w14:paraId="3CF0E75F" w14:textId="5E06DA7B">
      <w:pPr>
        <w:pStyle w:val="Default"/>
        <w:rPr>
          <w:rFonts w:ascii="Verdana" w:hAnsi="Verdana" w:cstheme="minorBidi"/>
          <w:i/>
          <w:iCs/>
          <w:color w:val="auto"/>
          <w:kern w:val="2"/>
          <w:sz w:val="18"/>
          <w:szCs w:val="22"/>
        </w:rPr>
      </w:pPr>
      <w:r>
        <w:rPr>
          <w:rFonts w:ascii="Verdana" w:hAnsi="Verdana" w:cstheme="minorBidi"/>
          <w:i/>
          <w:iCs/>
          <w:color w:val="auto"/>
          <w:kern w:val="2"/>
          <w:sz w:val="18"/>
          <w:szCs w:val="22"/>
        </w:rPr>
        <w:t xml:space="preserve">Aanbeveling </w:t>
      </w:r>
      <w:r w:rsidRPr="00281454" w:rsidR="00A77530">
        <w:rPr>
          <w:rFonts w:ascii="Verdana" w:hAnsi="Verdana" w:cstheme="minorBidi"/>
          <w:i/>
          <w:iCs/>
          <w:color w:val="auto"/>
          <w:kern w:val="2"/>
          <w:sz w:val="18"/>
          <w:szCs w:val="22"/>
        </w:rPr>
        <w:t>5</w:t>
      </w:r>
      <w:r>
        <w:rPr>
          <w:rFonts w:ascii="Verdana" w:hAnsi="Verdana" w:cstheme="minorBidi"/>
          <w:i/>
          <w:iCs/>
          <w:color w:val="auto"/>
          <w:kern w:val="2"/>
          <w:sz w:val="18"/>
          <w:szCs w:val="22"/>
        </w:rPr>
        <w:t>:</w:t>
      </w:r>
      <w:r w:rsidRPr="00281454" w:rsidR="00A77530">
        <w:rPr>
          <w:rFonts w:ascii="Verdana" w:hAnsi="Verdana" w:cstheme="minorBidi"/>
          <w:i/>
          <w:iCs/>
          <w:color w:val="auto"/>
          <w:kern w:val="2"/>
          <w:sz w:val="18"/>
          <w:szCs w:val="22"/>
        </w:rPr>
        <w:t xml:space="preserve"> Organiseer een leerstructuur met best </w:t>
      </w:r>
      <w:proofErr w:type="spellStart"/>
      <w:r w:rsidRPr="00281454" w:rsidR="00A77530">
        <w:rPr>
          <w:rFonts w:ascii="Verdana" w:hAnsi="Verdana" w:cstheme="minorBidi"/>
          <w:i/>
          <w:iCs/>
          <w:color w:val="auto"/>
          <w:kern w:val="2"/>
          <w:sz w:val="18"/>
          <w:szCs w:val="22"/>
        </w:rPr>
        <w:t>practices</w:t>
      </w:r>
      <w:proofErr w:type="spellEnd"/>
      <w:r w:rsidRPr="00281454" w:rsidR="00A77530">
        <w:rPr>
          <w:rFonts w:ascii="Verdana" w:hAnsi="Verdana" w:cstheme="minorBidi"/>
          <w:i/>
          <w:iCs/>
          <w:color w:val="auto"/>
          <w:kern w:val="2"/>
          <w:sz w:val="18"/>
          <w:szCs w:val="22"/>
        </w:rPr>
        <w:t xml:space="preserve"> over de uitvoering van het PHB</w:t>
      </w:r>
      <w:r w:rsidR="00E93C1E">
        <w:rPr>
          <w:rFonts w:ascii="Verdana" w:hAnsi="Verdana" w:cstheme="minorBidi"/>
          <w:i/>
          <w:iCs/>
          <w:color w:val="auto"/>
          <w:kern w:val="2"/>
          <w:sz w:val="18"/>
          <w:szCs w:val="22"/>
        </w:rPr>
        <w:t xml:space="preserve"> JGZ</w:t>
      </w:r>
      <w:r w:rsidRPr="00281454" w:rsidR="00A77530">
        <w:rPr>
          <w:rFonts w:ascii="Verdana" w:hAnsi="Verdana" w:cstheme="minorBidi"/>
          <w:i/>
          <w:iCs/>
          <w:color w:val="auto"/>
          <w:kern w:val="2"/>
          <w:sz w:val="18"/>
          <w:szCs w:val="22"/>
        </w:rPr>
        <w:t xml:space="preserve"> </w:t>
      </w:r>
    </w:p>
    <w:p w:rsidR="00A77530" w:rsidP="00A77530" w:rsidRDefault="00A77530" w14:paraId="00E8F0F2" w14:textId="6EE55BF8">
      <w:pPr>
        <w:pStyle w:val="Default"/>
        <w:rPr>
          <w:rFonts w:ascii="Verdana" w:hAnsi="Verdana" w:cstheme="minorBidi"/>
          <w:color w:val="auto"/>
          <w:kern w:val="2"/>
          <w:sz w:val="18"/>
          <w:szCs w:val="22"/>
        </w:rPr>
      </w:pPr>
      <w:r w:rsidRPr="00467167">
        <w:rPr>
          <w:rFonts w:ascii="Verdana" w:hAnsi="Verdana" w:cstheme="minorBidi"/>
          <w:color w:val="auto"/>
          <w:kern w:val="2"/>
          <w:sz w:val="18"/>
          <w:szCs w:val="22"/>
        </w:rPr>
        <w:t xml:space="preserve">Het PHB </w:t>
      </w:r>
      <w:r w:rsidR="00E93C1E">
        <w:rPr>
          <w:rFonts w:ascii="Verdana" w:hAnsi="Verdana" w:cstheme="minorBidi"/>
          <w:color w:val="auto"/>
          <w:kern w:val="2"/>
          <w:sz w:val="18"/>
          <w:szCs w:val="22"/>
        </w:rPr>
        <w:t xml:space="preserve">JGZ </w:t>
      </w:r>
      <w:r w:rsidRPr="00467167">
        <w:rPr>
          <w:rFonts w:ascii="Verdana" w:hAnsi="Verdana" w:cstheme="minorBidi"/>
          <w:color w:val="auto"/>
          <w:kern w:val="2"/>
          <w:sz w:val="18"/>
          <w:szCs w:val="22"/>
        </w:rPr>
        <w:t xml:space="preserve">kent een diversiteit </w:t>
      </w:r>
      <w:r w:rsidR="00281454">
        <w:rPr>
          <w:rFonts w:ascii="Verdana" w:hAnsi="Verdana" w:cstheme="minorBidi"/>
          <w:color w:val="auto"/>
          <w:kern w:val="2"/>
          <w:sz w:val="18"/>
          <w:szCs w:val="22"/>
        </w:rPr>
        <w:t>aan</w:t>
      </w:r>
      <w:r w:rsidRPr="00467167">
        <w:rPr>
          <w:rFonts w:ascii="Verdana" w:hAnsi="Verdana" w:cstheme="minorBidi"/>
          <w:color w:val="auto"/>
          <w:kern w:val="2"/>
          <w:sz w:val="18"/>
          <w:szCs w:val="22"/>
        </w:rPr>
        <w:t xml:space="preserve"> hoe het is ingericht en wordt uitgevoerd in gemeenten. Onder andere hoe de aanmelding is ingericht, in de breedte van de potentiële doelgroep waarvoor het PHB</w:t>
      </w:r>
      <w:r w:rsidR="00E93C1E">
        <w:rPr>
          <w:rFonts w:ascii="Verdana" w:hAnsi="Verdana" w:cstheme="minorBidi"/>
          <w:color w:val="auto"/>
          <w:kern w:val="2"/>
          <w:sz w:val="18"/>
          <w:szCs w:val="22"/>
        </w:rPr>
        <w:t xml:space="preserve"> JGZ</w:t>
      </w:r>
      <w:r w:rsidRPr="00467167">
        <w:rPr>
          <w:rFonts w:ascii="Verdana" w:hAnsi="Verdana" w:cstheme="minorBidi"/>
          <w:color w:val="auto"/>
          <w:kern w:val="2"/>
          <w:sz w:val="18"/>
          <w:szCs w:val="22"/>
        </w:rPr>
        <w:t xml:space="preserve"> wordt aangeboden (alleen </w:t>
      </w:r>
      <w:proofErr w:type="spellStart"/>
      <w:r w:rsidR="00F708C6">
        <w:rPr>
          <w:rFonts w:ascii="Verdana" w:hAnsi="Verdana" w:cstheme="minorBidi"/>
          <w:color w:val="auto"/>
          <w:kern w:val="2"/>
          <w:sz w:val="18"/>
          <w:szCs w:val="22"/>
        </w:rPr>
        <w:t>zwangeren</w:t>
      </w:r>
      <w:proofErr w:type="spellEnd"/>
      <w:r w:rsidR="00F708C6">
        <w:rPr>
          <w:rFonts w:ascii="Verdana" w:hAnsi="Verdana" w:cstheme="minorBidi"/>
          <w:color w:val="auto"/>
          <w:kern w:val="2"/>
          <w:sz w:val="18"/>
          <w:szCs w:val="22"/>
        </w:rPr>
        <w:t xml:space="preserve"> in een kwetsbare situatie</w:t>
      </w:r>
      <w:r w:rsidRPr="00467167" w:rsidR="00F708C6">
        <w:rPr>
          <w:rFonts w:ascii="Verdana" w:hAnsi="Verdana" w:cstheme="minorBidi"/>
          <w:color w:val="auto"/>
          <w:kern w:val="2"/>
          <w:sz w:val="18"/>
          <w:szCs w:val="22"/>
        </w:rPr>
        <w:t xml:space="preserve"> </w:t>
      </w:r>
      <w:r w:rsidRPr="00467167">
        <w:rPr>
          <w:rFonts w:ascii="Verdana" w:hAnsi="Verdana" w:cstheme="minorBidi"/>
          <w:color w:val="auto"/>
          <w:kern w:val="2"/>
          <w:sz w:val="18"/>
          <w:szCs w:val="22"/>
        </w:rPr>
        <w:t xml:space="preserve">of breder) en in de gehanteerde terminologie (soms wordt het geen prenataal huisbezoek genoemd). Om de potentie van het PHB </w:t>
      </w:r>
      <w:r w:rsidR="00E93C1E">
        <w:rPr>
          <w:rFonts w:ascii="Verdana" w:hAnsi="Verdana" w:cstheme="minorBidi"/>
          <w:color w:val="auto"/>
          <w:kern w:val="2"/>
          <w:sz w:val="18"/>
          <w:szCs w:val="22"/>
        </w:rPr>
        <w:t xml:space="preserve">JGZ </w:t>
      </w:r>
      <w:r w:rsidRPr="00467167">
        <w:rPr>
          <w:rFonts w:ascii="Verdana" w:hAnsi="Verdana" w:cstheme="minorBidi"/>
          <w:color w:val="auto"/>
          <w:kern w:val="2"/>
          <w:sz w:val="18"/>
          <w:szCs w:val="22"/>
        </w:rPr>
        <w:t xml:space="preserve">te kunnen realiseren, is het relevant om best </w:t>
      </w:r>
      <w:proofErr w:type="spellStart"/>
      <w:r w:rsidRPr="00467167">
        <w:rPr>
          <w:rFonts w:ascii="Verdana" w:hAnsi="Verdana" w:cstheme="minorBidi"/>
          <w:color w:val="auto"/>
          <w:kern w:val="2"/>
          <w:sz w:val="18"/>
          <w:szCs w:val="22"/>
        </w:rPr>
        <w:t>practices</w:t>
      </w:r>
      <w:proofErr w:type="spellEnd"/>
      <w:r w:rsidRPr="00467167">
        <w:rPr>
          <w:rFonts w:ascii="Verdana" w:hAnsi="Verdana" w:cstheme="minorBidi"/>
          <w:color w:val="auto"/>
          <w:kern w:val="2"/>
          <w:sz w:val="18"/>
          <w:szCs w:val="22"/>
        </w:rPr>
        <w:t xml:space="preserve"> te delen en hier van te leren. Aangezien het PHB </w:t>
      </w:r>
      <w:r w:rsidR="00E93C1E">
        <w:rPr>
          <w:rFonts w:ascii="Verdana" w:hAnsi="Verdana" w:cstheme="minorBidi"/>
          <w:color w:val="auto"/>
          <w:kern w:val="2"/>
          <w:sz w:val="18"/>
          <w:szCs w:val="22"/>
        </w:rPr>
        <w:t xml:space="preserve">JGZ </w:t>
      </w:r>
      <w:r w:rsidRPr="00467167">
        <w:rPr>
          <w:rFonts w:ascii="Verdana" w:hAnsi="Verdana" w:cstheme="minorBidi"/>
          <w:color w:val="auto"/>
          <w:kern w:val="2"/>
          <w:sz w:val="18"/>
          <w:szCs w:val="22"/>
        </w:rPr>
        <w:t>een relatief nieuwe taak is, is dit zowel relevant voor gemeenten als voor professionals en hun organisaties.</w:t>
      </w:r>
    </w:p>
    <w:p w:rsidR="00A77530" w:rsidP="00B13C37" w:rsidRDefault="00A77530" w14:paraId="037027B2" w14:textId="1E0FDC3E">
      <w:pPr>
        <w:widowControl w:val="0"/>
        <w:spacing w:line="240" w:lineRule="auto"/>
      </w:pPr>
      <w:r>
        <w:br/>
        <w:t xml:space="preserve">Actie: </w:t>
      </w:r>
      <w:r w:rsidR="00CD1E7B">
        <w:t xml:space="preserve">In overleg met landelijke partijen gaat het </w:t>
      </w:r>
      <w:r>
        <w:t xml:space="preserve">NCJ best </w:t>
      </w:r>
      <w:proofErr w:type="spellStart"/>
      <w:r>
        <w:t>practices</w:t>
      </w:r>
      <w:proofErr w:type="spellEnd"/>
      <w:r>
        <w:t xml:space="preserve"> ophalen en </w:t>
      </w:r>
      <w:r w:rsidR="00164ECA">
        <w:t>bundelen</w:t>
      </w:r>
      <w:r>
        <w:t xml:space="preserve"> en</w:t>
      </w:r>
      <w:r w:rsidR="00281454">
        <w:t xml:space="preserve"> </w:t>
      </w:r>
      <w:r w:rsidR="00164ECA">
        <w:t>voegen</w:t>
      </w:r>
      <w:r w:rsidR="00CD1E7B">
        <w:t xml:space="preserve"> zij</w:t>
      </w:r>
      <w:r w:rsidR="00164ECA">
        <w:t xml:space="preserve"> dit toe aan de </w:t>
      </w:r>
      <w:r>
        <w:t>implementatietoolkit</w:t>
      </w:r>
      <w:r w:rsidR="00164ECA">
        <w:t xml:space="preserve"> PHB</w:t>
      </w:r>
      <w:r w:rsidR="00E93C1E">
        <w:t xml:space="preserve"> JGZ</w:t>
      </w:r>
      <w:r w:rsidR="00281454">
        <w:t>, die te vinden is op hun website</w:t>
      </w:r>
      <w:r>
        <w:t xml:space="preserve">. </w:t>
      </w:r>
      <w:bookmarkStart w:name="_Hlk167203079" w:id="2"/>
      <w:r w:rsidRPr="00B13C37" w:rsidR="00703FFC">
        <w:t>De</w:t>
      </w:r>
      <w:r w:rsidR="006A2B47">
        <w:t>ze</w:t>
      </w:r>
      <w:r w:rsidRPr="00B13C37" w:rsidR="00703FFC">
        <w:t xml:space="preserve"> b</w:t>
      </w:r>
      <w:r w:rsidR="003172A1">
        <w:t>e</w:t>
      </w:r>
      <w:r w:rsidRPr="00B13C37" w:rsidR="00703FFC">
        <w:t xml:space="preserve">st </w:t>
      </w:r>
      <w:proofErr w:type="spellStart"/>
      <w:r w:rsidRPr="00B13C37" w:rsidR="00703FFC">
        <w:t>practices</w:t>
      </w:r>
      <w:proofErr w:type="spellEnd"/>
      <w:r w:rsidRPr="00B13C37" w:rsidR="00703FFC">
        <w:t xml:space="preserve"> worden </w:t>
      </w:r>
      <w:r w:rsidR="006A2B47">
        <w:t>daarna</w:t>
      </w:r>
      <w:r w:rsidRPr="00B13C37" w:rsidR="006A2B47">
        <w:t xml:space="preserve"> </w:t>
      </w:r>
      <w:r w:rsidRPr="00B13C37" w:rsidR="00703FFC">
        <w:t>gedeeld in de nieuw</w:t>
      </w:r>
      <w:r w:rsidRPr="00B13C37" w:rsidR="001636C7">
        <w:t>s</w:t>
      </w:r>
      <w:r w:rsidRPr="00B13C37" w:rsidR="00703FFC">
        <w:t>brieven van het NCJ en CPZ</w:t>
      </w:r>
      <w:bookmarkEnd w:id="2"/>
      <w:r w:rsidRPr="00B13C37" w:rsidR="00703FFC">
        <w:t xml:space="preserve">. </w:t>
      </w:r>
      <w:r w:rsidR="006A2B47">
        <w:t xml:space="preserve">Ook ontwikkelen </w:t>
      </w:r>
      <w:r w:rsidRPr="00B13C37" w:rsidR="00703FFC">
        <w:t>CPZ en NCJ na de zomer een thema nieuwsbrief</w:t>
      </w:r>
      <w:r w:rsidR="006A2B47">
        <w:t xml:space="preserve"> over het</w:t>
      </w:r>
      <w:r w:rsidRPr="00B13C37" w:rsidR="00703FFC">
        <w:t xml:space="preserve"> PHB </w:t>
      </w:r>
      <w:r w:rsidR="00E93C1E">
        <w:t>JGZ</w:t>
      </w:r>
      <w:r w:rsidRPr="00B13C37" w:rsidR="00703FFC">
        <w:t xml:space="preserve">. </w:t>
      </w:r>
      <w:r w:rsidR="00040FF0">
        <w:t>De VNG</w:t>
      </w:r>
      <w:r w:rsidR="00565E3F">
        <w:t xml:space="preserve"> zal </w:t>
      </w:r>
      <w:r w:rsidR="00B13C37">
        <w:t xml:space="preserve">vervolgens </w:t>
      </w:r>
      <w:r w:rsidR="00040FF0">
        <w:t>worden gevraagd om deze nieuwsbrief te verspreiden onder alle gemeenten in Nederland.</w:t>
      </w:r>
      <w:r>
        <w:br/>
      </w:r>
    </w:p>
    <w:p w:rsidR="00CD2451" w:rsidP="00565E3F" w:rsidRDefault="005225E2" w14:paraId="474CD4B0" w14:textId="133D537D">
      <w:pPr>
        <w:rPr>
          <w:szCs w:val="22"/>
        </w:rPr>
      </w:pPr>
      <w:r>
        <w:rPr>
          <w:i/>
          <w:iCs/>
          <w:color w:val="auto"/>
          <w:szCs w:val="22"/>
        </w:rPr>
        <w:t xml:space="preserve">Aanbeveling </w:t>
      </w:r>
      <w:r w:rsidRPr="00281454" w:rsidR="00A77530">
        <w:rPr>
          <w:i/>
          <w:iCs/>
          <w:color w:val="auto"/>
          <w:szCs w:val="22"/>
        </w:rPr>
        <w:t>6</w:t>
      </w:r>
      <w:r>
        <w:rPr>
          <w:i/>
          <w:iCs/>
          <w:color w:val="auto"/>
          <w:szCs w:val="22"/>
        </w:rPr>
        <w:t>:</w:t>
      </w:r>
      <w:r w:rsidRPr="00281454" w:rsidR="00A77530">
        <w:rPr>
          <w:i/>
          <w:iCs/>
          <w:color w:val="auto"/>
          <w:szCs w:val="22"/>
        </w:rPr>
        <w:t xml:space="preserve"> Werk aan een stevige ketensamenwerking tussen zorgprofessionals</w:t>
      </w:r>
      <w:r w:rsidRPr="00281454" w:rsidR="00A77530">
        <w:rPr>
          <w:i/>
          <w:iCs/>
        </w:rPr>
        <w:br/>
      </w:r>
      <w:r w:rsidRPr="002E769F" w:rsidR="00A77530">
        <w:rPr>
          <w:szCs w:val="22"/>
        </w:rPr>
        <w:t>Het PHB</w:t>
      </w:r>
      <w:r w:rsidR="00A77530">
        <w:t xml:space="preserve"> JGZ</w:t>
      </w:r>
      <w:r w:rsidRPr="002E769F" w:rsidR="00A77530">
        <w:rPr>
          <w:szCs w:val="22"/>
        </w:rPr>
        <w:t xml:space="preserve"> wordt als welkome katalysator gezien in de </w:t>
      </w:r>
      <w:proofErr w:type="spellStart"/>
      <w:r w:rsidRPr="002E769F" w:rsidR="00A77530">
        <w:rPr>
          <w:szCs w:val="22"/>
        </w:rPr>
        <w:t>domeinoverstijgende</w:t>
      </w:r>
      <w:proofErr w:type="spellEnd"/>
      <w:r w:rsidRPr="002E769F" w:rsidR="00A77530">
        <w:rPr>
          <w:szCs w:val="22"/>
        </w:rPr>
        <w:t xml:space="preserve"> (preventieve) geboortezorg. Tegelijkertijd wordt nog niet overal of altijd genoeg in gezamenlijkheid opgetrokken tussen disciplines en ontbreekt het geregeld nog aan samenwerkingsafspraken. Korte lijnen vanuit het medisch domein (1e en 2e lijn), de JGZ en partijen uit het sociaal domein zijn noodzakelijk om in te zetten op goede signalering, gebruik van het PHB</w:t>
      </w:r>
      <w:r w:rsidR="00E93C1E">
        <w:rPr>
          <w:szCs w:val="22"/>
        </w:rPr>
        <w:t xml:space="preserve"> JGZ</w:t>
      </w:r>
      <w:r w:rsidRPr="002E769F" w:rsidR="00A77530">
        <w:rPr>
          <w:szCs w:val="22"/>
        </w:rPr>
        <w:t xml:space="preserve"> en eventuele inzet van vervolghulp voor (aanstaande) ouders in een kwetsbare situatie.</w:t>
      </w:r>
      <w:r w:rsidR="00565E3F">
        <w:rPr>
          <w:szCs w:val="22"/>
        </w:rPr>
        <w:br/>
      </w:r>
      <w:r w:rsidR="00281454">
        <w:br/>
      </w:r>
      <w:r w:rsidRPr="0004354A" w:rsidR="00A77530">
        <w:rPr>
          <w:szCs w:val="22"/>
        </w:rPr>
        <w:t>Actie:</w:t>
      </w:r>
      <w:r w:rsidRPr="0004354A" w:rsidR="00565E3F">
        <w:rPr>
          <w:szCs w:val="22"/>
        </w:rPr>
        <w:t xml:space="preserve"> In overleg met </w:t>
      </w:r>
      <w:r w:rsidR="00297F2C">
        <w:rPr>
          <w:szCs w:val="22"/>
        </w:rPr>
        <w:t xml:space="preserve">gemeenten </w:t>
      </w:r>
      <w:r w:rsidRPr="0004354A" w:rsidR="00565E3F">
        <w:rPr>
          <w:szCs w:val="22"/>
        </w:rPr>
        <w:t xml:space="preserve">zal de VNG bij haar leden aandacht vragen voor het belang van stevige ketensamenwerking in de </w:t>
      </w:r>
      <w:proofErr w:type="spellStart"/>
      <w:r w:rsidRPr="0004354A" w:rsidR="00565E3F">
        <w:rPr>
          <w:szCs w:val="22"/>
        </w:rPr>
        <w:t>domeinoverstijgende</w:t>
      </w:r>
      <w:proofErr w:type="spellEnd"/>
      <w:r w:rsidRPr="0004354A" w:rsidR="00565E3F">
        <w:rPr>
          <w:szCs w:val="22"/>
        </w:rPr>
        <w:t xml:space="preserve"> geboortezorg. Ook GGD GHOR </w:t>
      </w:r>
      <w:r w:rsidR="009A4AA0">
        <w:rPr>
          <w:szCs w:val="22"/>
        </w:rPr>
        <w:t xml:space="preserve">NL </w:t>
      </w:r>
      <w:r w:rsidRPr="0004354A" w:rsidR="00565E3F">
        <w:rPr>
          <w:szCs w:val="22"/>
        </w:rPr>
        <w:t xml:space="preserve">en </w:t>
      </w:r>
      <w:proofErr w:type="spellStart"/>
      <w:r w:rsidRPr="0004354A" w:rsidR="009A4AA0">
        <w:rPr>
          <w:szCs w:val="22"/>
        </w:rPr>
        <w:t>Act</w:t>
      </w:r>
      <w:r w:rsidR="009A4AA0">
        <w:rPr>
          <w:szCs w:val="22"/>
        </w:rPr>
        <w:t>iZ</w:t>
      </w:r>
      <w:proofErr w:type="spellEnd"/>
      <w:r w:rsidRPr="0004354A" w:rsidR="00565E3F">
        <w:rPr>
          <w:szCs w:val="22"/>
        </w:rPr>
        <w:t xml:space="preserve"> zullen hiervoor aandacht vragen bij hun leden. </w:t>
      </w:r>
      <w:r w:rsidRPr="00D85885" w:rsidR="00B501D8">
        <w:rPr>
          <w:color w:val="auto"/>
          <w:szCs w:val="22"/>
        </w:rPr>
        <w:t xml:space="preserve">CPZ </w:t>
      </w:r>
      <w:r w:rsidR="0025528E">
        <w:rPr>
          <w:color w:val="auto"/>
          <w:szCs w:val="22"/>
        </w:rPr>
        <w:t>gaa</w:t>
      </w:r>
      <w:r w:rsidR="00CF2235">
        <w:rPr>
          <w:color w:val="auto"/>
          <w:szCs w:val="22"/>
        </w:rPr>
        <w:t>t</w:t>
      </w:r>
      <w:r w:rsidR="0025528E">
        <w:rPr>
          <w:color w:val="auto"/>
          <w:szCs w:val="22"/>
        </w:rPr>
        <w:t xml:space="preserve"> </w:t>
      </w:r>
      <w:r w:rsidRPr="0004354A" w:rsidR="00A77530">
        <w:rPr>
          <w:szCs w:val="22"/>
        </w:rPr>
        <w:t xml:space="preserve">het belang van een stevige ketensamenwerking </w:t>
      </w:r>
      <w:r w:rsidRPr="0004354A" w:rsidR="00CD1E7B">
        <w:rPr>
          <w:szCs w:val="22"/>
        </w:rPr>
        <w:t xml:space="preserve">rond de inzet </w:t>
      </w:r>
      <w:r w:rsidRPr="0004354A" w:rsidR="00CD1E7B">
        <w:rPr>
          <w:szCs w:val="22"/>
        </w:rPr>
        <w:lastRenderedPageBreak/>
        <w:t xml:space="preserve">van het PHB </w:t>
      </w:r>
      <w:r w:rsidR="00E93C1E">
        <w:rPr>
          <w:szCs w:val="22"/>
        </w:rPr>
        <w:t xml:space="preserve">JGZ </w:t>
      </w:r>
      <w:r w:rsidRPr="0004354A" w:rsidR="00A77530">
        <w:rPr>
          <w:szCs w:val="22"/>
        </w:rPr>
        <w:t xml:space="preserve">benadrukken </w:t>
      </w:r>
      <w:r w:rsidRPr="0004354A" w:rsidR="00565E3F">
        <w:rPr>
          <w:szCs w:val="22"/>
        </w:rPr>
        <w:t xml:space="preserve">bij de lokale coalities en </w:t>
      </w:r>
      <w:proofErr w:type="spellStart"/>
      <w:r w:rsidRPr="0004354A" w:rsidR="00565E3F">
        <w:rPr>
          <w:szCs w:val="22"/>
        </w:rPr>
        <w:t>VSV’s</w:t>
      </w:r>
      <w:proofErr w:type="spellEnd"/>
      <w:r w:rsidRPr="0004354A" w:rsidR="00565E3F">
        <w:rPr>
          <w:szCs w:val="22"/>
        </w:rPr>
        <w:t xml:space="preserve"> </w:t>
      </w:r>
      <w:r w:rsidRPr="0004354A" w:rsidR="00A77530">
        <w:rPr>
          <w:szCs w:val="22"/>
        </w:rPr>
        <w:t>en hen vragen hierover in hun eigen regio of gemeente afspraken te maken</w:t>
      </w:r>
      <w:r w:rsidRPr="0004354A" w:rsidR="00B038CF">
        <w:rPr>
          <w:szCs w:val="22"/>
        </w:rPr>
        <w:t>.</w:t>
      </w:r>
      <w:r w:rsidR="002D2401">
        <w:rPr>
          <w:szCs w:val="22"/>
        </w:rPr>
        <w:t xml:space="preserve"> </w:t>
      </w:r>
      <w:proofErr w:type="spellStart"/>
      <w:r w:rsidRPr="002D2401" w:rsidR="002D2401">
        <w:rPr>
          <w:szCs w:val="22"/>
        </w:rPr>
        <w:t>Pharos</w:t>
      </w:r>
      <w:proofErr w:type="spellEnd"/>
      <w:r w:rsidRPr="002D2401" w:rsidR="002D2401">
        <w:rPr>
          <w:szCs w:val="22"/>
        </w:rPr>
        <w:t xml:space="preserve"> heeft een ondersteunende rol in het proces van het bevorderen van de samenwerking en het vastleggen van afspraken tussen het medisch en sociaal domein. Dit is uiteindelijk ook helpend bij de implementatie van het PHB JGZ. </w:t>
      </w:r>
    </w:p>
    <w:p w:rsidRPr="00C65C38" w:rsidR="00A77530" w:rsidP="00565E3F" w:rsidRDefault="00297F2C" w14:paraId="401533E2" w14:textId="25820741">
      <w:r>
        <w:rPr>
          <w:szCs w:val="22"/>
        </w:rPr>
        <w:t xml:space="preserve">Stevige ketensamenwerking kan </w:t>
      </w:r>
      <w:r w:rsidR="00165DC5">
        <w:rPr>
          <w:szCs w:val="22"/>
        </w:rPr>
        <w:t xml:space="preserve">verder </w:t>
      </w:r>
      <w:r>
        <w:rPr>
          <w:szCs w:val="22"/>
        </w:rPr>
        <w:t xml:space="preserve">worden </w:t>
      </w:r>
      <w:r w:rsidR="00165DC5">
        <w:rPr>
          <w:szCs w:val="22"/>
        </w:rPr>
        <w:t>ondersteund</w:t>
      </w:r>
      <w:r>
        <w:rPr>
          <w:szCs w:val="22"/>
        </w:rPr>
        <w:t xml:space="preserve"> door implementatie van de eerder </w:t>
      </w:r>
      <w:r w:rsidRPr="0004354A" w:rsidR="00565E3F">
        <w:rPr>
          <w:szCs w:val="22"/>
        </w:rPr>
        <w:t xml:space="preserve">genoemde </w:t>
      </w:r>
      <w:r w:rsidR="00CD2451">
        <w:rPr>
          <w:szCs w:val="22"/>
        </w:rPr>
        <w:t>e-</w:t>
      </w:r>
      <w:proofErr w:type="spellStart"/>
      <w:r w:rsidR="00CD2451">
        <w:rPr>
          <w:szCs w:val="22"/>
        </w:rPr>
        <w:t>learning</w:t>
      </w:r>
      <w:proofErr w:type="spellEnd"/>
      <w:r w:rsidR="00CD2451">
        <w:rPr>
          <w:szCs w:val="22"/>
        </w:rPr>
        <w:t xml:space="preserve">, </w:t>
      </w:r>
      <w:r w:rsidRPr="0004354A" w:rsidR="007E7738">
        <w:rPr>
          <w:szCs w:val="22"/>
        </w:rPr>
        <w:t>workshop</w:t>
      </w:r>
      <w:r w:rsidRPr="0004354A" w:rsidR="00565E3F">
        <w:rPr>
          <w:szCs w:val="22"/>
        </w:rPr>
        <w:t xml:space="preserve"> </w:t>
      </w:r>
      <w:r>
        <w:rPr>
          <w:szCs w:val="22"/>
        </w:rPr>
        <w:t xml:space="preserve">en </w:t>
      </w:r>
      <w:r w:rsidR="006A2B47">
        <w:rPr>
          <w:szCs w:val="22"/>
        </w:rPr>
        <w:t>het</w:t>
      </w:r>
      <w:r w:rsidRPr="0004354A" w:rsidR="006A2B47">
        <w:rPr>
          <w:szCs w:val="22"/>
        </w:rPr>
        <w:t xml:space="preserve"> </w:t>
      </w:r>
      <w:proofErr w:type="spellStart"/>
      <w:r w:rsidRPr="0004354A" w:rsidR="00565E3F">
        <w:rPr>
          <w:szCs w:val="22"/>
        </w:rPr>
        <w:t>webinar</w:t>
      </w:r>
      <w:proofErr w:type="spellEnd"/>
      <w:r w:rsidRPr="0004354A" w:rsidR="00565E3F">
        <w:rPr>
          <w:szCs w:val="22"/>
        </w:rPr>
        <w:t xml:space="preserve"> die het NCJ en CPZ</w:t>
      </w:r>
      <w:r w:rsidR="0025528E">
        <w:rPr>
          <w:szCs w:val="22"/>
        </w:rPr>
        <w:t xml:space="preserve"> hebben ontwikkeld</w:t>
      </w:r>
      <w:r w:rsidR="00CD2451">
        <w:rPr>
          <w:szCs w:val="22"/>
        </w:rPr>
        <w:t>. Deze tools kunnen</w:t>
      </w:r>
      <w:r w:rsidRPr="0004354A" w:rsidR="0004354A">
        <w:rPr>
          <w:szCs w:val="22"/>
        </w:rPr>
        <w:t xml:space="preserve"> lokaal worden gebruikt om </w:t>
      </w:r>
      <w:r w:rsidRPr="0004354A" w:rsidR="00277833">
        <w:rPr>
          <w:szCs w:val="22"/>
        </w:rPr>
        <w:t>professionals te informeren en de lokale samenwerking te stimuleren voor de implementatie van het prenatale huisbezoek</w:t>
      </w:r>
      <w:r>
        <w:rPr>
          <w:szCs w:val="22"/>
        </w:rPr>
        <w:t>. Het NCJ zal</w:t>
      </w:r>
      <w:r w:rsidR="00CD2451">
        <w:rPr>
          <w:szCs w:val="22"/>
        </w:rPr>
        <w:t xml:space="preserve"> </w:t>
      </w:r>
      <w:r>
        <w:rPr>
          <w:szCs w:val="22"/>
        </w:rPr>
        <w:t>actiever aanbieden deze workshops te begeleiden</w:t>
      </w:r>
      <w:r w:rsidR="00D95E1D">
        <w:rPr>
          <w:szCs w:val="22"/>
        </w:rPr>
        <w:t>,</w:t>
      </w:r>
      <w:r>
        <w:rPr>
          <w:szCs w:val="22"/>
        </w:rPr>
        <w:t xml:space="preserve"> zodat </w:t>
      </w:r>
      <w:r w:rsidR="006A2B47">
        <w:rPr>
          <w:szCs w:val="22"/>
        </w:rPr>
        <w:t xml:space="preserve">er </w:t>
      </w:r>
      <w:r>
        <w:rPr>
          <w:szCs w:val="22"/>
        </w:rPr>
        <w:t>meer aandacht komt voor</w:t>
      </w:r>
      <w:r w:rsidR="006A2B47">
        <w:rPr>
          <w:szCs w:val="22"/>
        </w:rPr>
        <w:t xml:space="preserve"> wat er al is </w:t>
      </w:r>
      <w:r>
        <w:rPr>
          <w:szCs w:val="22"/>
        </w:rPr>
        <w:t>ontwikkeld en hiervan meer gebruik zal worden gemaakt</w:t>
      </w:r>
      <w:r w:rsidRPr="005C3D6A">
        <w:rPr>
          <w:szCs w:val="22"/>
        </w:rPr>
        <w:t xml:space="preserve">. </w:t>
      </w:r>
      <w:r w:rsidRPr="0004354A" w:rsidR="00C65C38">
        <w:rPr>
          <w:szCs w:val="22"/>
        </w:rPr>
        <w:t xml:space="preserve">Ook de eerder genoemde </w:t>
      </w:r>
      <w:r w:rsidRPr="0004354A" w:rsidR="007E7738">
        <w:rPr>
          <w:szCs w:val="22"/>
        </w:rPr>
        <w:t>multidisciplinaire</w:t>
      </w:r>
      <w:r w:rsidRPr="0004354A" w:rsidR="00C65C38">
        <w:rPr>
          <w:szCs w:val="22"/>
        </w:rPr>
        <w:t xml:space="preserve"> bijscholing heeft als doel de samenwerking te verbeteren en kennis over onder andere het PHB JGZ te vergroten</w:t>
      </w:r>
      <w:r w:rsidR="006A2B47">
        <w:rPr>
          <w:szCs w:val="22"/>
        </w:rPr>
        <w:t xml:space="preserve">. Dit kan bijdragen </w:t>
      </w:r>
      <w:r w:rsidRPr="0004354A" w:rsidR="0004354A">
        <w:rPr>
          <w:szCs w:val="22"/>
        </w:rPr>
        <w:t>aan het realiseren van een stevige ketensamenwerking tussen zorgprofessio</w:t>
      </w:r>
      <w:r w:rsidR="007E7738">
        <w:rPr>
          <w:szCs w:val="22"/>
        </w:rPr>
        <w:t>n</w:t>
      </w:r>
      <w:r w:rsidRPr="0004354A" w:rsidR="0004354A">
        <w:rPr>
          <w:szCs w:val="22"/>
        </w:rPr>
        <w:t>als</w:t>
      </w:r>
      <w:r w:rsidRPr="0004354A" w:rsidR="00C65C38">
        <w:rPr>
          <w:szCs w:val="22"/>
        </w:rPr>
        <w:t xml:space="preserve">. </w:t>
      </w:r>
      <w:r w:rsidRPr="00D85885" w:rsidR="00D037BE">
        <w:rPr>
          <w:szCs w:val="22"/>
        </w:rPr>
        <w:t xml:space="preserve">Daarnaast </w:t>
      </w:r>
      <w:r w:rsidRPr="00D85885" w:rsidR="00A77530">
        <w:rPr>
          <w:szCs w:val="22"/>
        </w:rPr>
        <w:t xml:space="preserve">wordt een </w:t>
      </w:r>
      <w:proofErr w:type="spellStart"/>
      <w:r w:rsidRPr="00297F2C" w:rsidR="00A77530">
        <w:rPr>
          <w:szCs w:val="22"/>
        </w:rPr>
        <w:t>factsheet</w:t>
      </w:r>
      <w:proofErr w:type="spellEnd"/>
      <w:r w:rsidRPr="00297F2C" w:rsidR="00A77530">
        <w:rPr>
          <w:szCs w:val="22"/>
        </w:rPr>
        <w:t xml:space="preserve"> PHB</w:t>
      </w:r>
      <w:r>
        <w:rPr>
          <w:szCs w:val="22"/>
        </w:rPr>
        <w:t xml:space="preserve"> JGZ</w:t>
      </w:r>
      <w:r w:rsidRPr="00297F2C" w:rsidR="00A77530">
        <w:rPr>
          <w:szCs w:val="22"/>
        </w:rPr>
        <w:t xml:space="preserve"> ontwikkeld </w:t>
      </w:r>
      <w:r w:rsidRPr="00D85885">
        <w:rPr>
          <w:szCs w:val="22"/>
        </w:rPr>
        <w:t>omtrent ketensamenwerking rondom het PHB JGZ</w:t>
      </w:r>
      <w:r>
        <w:rPr>
          <w:szCs w:val="22"/>
        </w:rPr>
        <w:t xml:space="preserve"> voor betrokken zorgverleners en gemeenten</w:t>
      </w:r>
      <w:r w:rsidRPr="00D85885">
        <w:rPr>
          <w:szCs w:val="22"/>
        </w:rPr>
        <w:t xml:space="preserve">. </w:t>
      </w:r>
      <w:r w:rsidRPr="0004354A" w:rsidR="00C65C38">
        <w:rPr>
          <w:szCs w:val="22"/>
        </w:rPr>
        <w:t>Uit het rapport</w:t>
      </w:r>
      <w:r w:rsidR="00D037BE">
        <w:rPr>
          <w:szCs w:val="22"/>
        </w:rPr>
        <w:t xml:space="preserve"> van AEF</w:t>
      </w:r>
      <w:r w:rsidRPr="0004354A" w:rsidR="00C65C38">
        <w:rPr>
          <w:szCs w:val="22"/>
        </w:rPr>
        <w:t xml:space="preserve"> komt </w:t>
      </w:r>
      <w:r w:rsidRPr="001F5130" w:rsidR="0004354A">
        <w:rPr>
          <w:szCs w:val="22"/>
        </w:rPr>
        <w:t>tenslot</w:t>
      </w:r>
      <w:r w:rsidRPr="0004354A" w:rsidR="0004354A">
        <w:rPr>
          <w:szCs w:val="22"/>
        </w:rPr>
        <w:t xml:space="preserve">te </w:t>
      </w:r>
      <w:r w:rsidRPr="0004354A" w:rsidR="00C65C38">
        <w:rPr>
          <w:szCs w:val="22"/>
        </w:rPr>
        <w:t xml:space="preserve">ook naar voren dat het PHB JGZ nog onvoldoende bekend is bij </w:t>
      </w:r>
      <w:r w:rsidR="00AF492E">
        <w:rPr>
          <w:szCs w:val="22"/>
        </w:rPr>
        <w:t xml:space="preserve">belangrijke partners in de geboortezorg, zoals </w:t>
      </w:r>
      <w:r w:rsidR="00D95E1D">
        <w:rPr>
          <w:szCs w:val="22"/>
        </w:rPr>
        <w:t>tweede</w:t>
      </w:r>
      <w:r w:rsidRPr="0004354A" w:rsidR="00C65C38">
        <w:rPr>
          <w:szCs w:val="22"/>
        </w:rPr>
        <w:t>lijn</w:t>
      </w:r>
      <w:r w:rsidR="002C2CB1">
        <w:rPr>
          <w:szCs w:val="22"/>
        </w:rPr>
        <w:t>s</w:t>
      </w:r>
      <w:r w:rsidR="00D95E1D">
        <w:rPr>
          <w:szCs w:val="22"/>
        </w:rPr>
        <w:t xml:space="preserve"> </w:t>
      </w:r>
      <w:r w:rsidRPr="0004354A" w:rsidR="00C65C38">
        <w:rPr>
          <w:szCs w:val="22"/>
        </w:rPr>
        <w:t>verloskundige</w:t>
      </w:r>
      <w:r w:rsidR="006A2B47">
        <w:rPr>
          <w:szCs w:val="22"/>
        </w:rPr>
        <w:t>n</w:t>
      </w:r>
      <w:r w:rsidRPr="0004354A" w:rsidR="00C65C38">
        <w:rPr>
          <w:szCs w:val="22"/>
        </w:rPr>
        <w:t>, gynaecolo</w:t>
      </w:r>
      <w:r w:rsidR="00D037BE">
        <w:rPr>
          <w:szCs w:val="22"/>
        </w:rPr>
        <w:t>gen</w:t>
      </w:r>
      <w:r w:rsidRPr="0004354A" w:rsidR="00C65C38">
        <w:rPr>
          <w:szCs w:val="22"/>
        </w:rPr>
        <w:t xml:space="preserve"> en verpleegkundigen in het ziekenhuis. CPZ en de</w:t>
      </w:r>
      <w:r w:rsidRPr="0004354A" w:rsidR="0004354A">
        <w:rPr>
          <w:szCs w:val="22"/>
        </w:rPr>
        <w:t xml:space="preserve"> </w:t>
      </w:r>
      <w:r w:rsidR="002C208C">
        <w:rPr>
          <w:szCs w:val="22"/>
        </w:rPr>
        <w:t xml:space="preserve">federatie </w:t>
      </w:r>
      <w:r>
        <w:rPr>
          <w:szCs w:val="22"/>
        </w:rPr>
        <w:t xml:space="preserve">van </w:t>
      </w:r>
      <w:proofErr w:type="spellStart"/>
      <w:r w:rsidR="002C208C">
        <w:rPr>
          <w:szCs w:val="22"/>
        </w:rPr>
        <w:t>VSV</w:t>
      </w:r>
      <w:r>
        <w:rPr>
          <w:szCs w:val="22"/>
        </w:rPr>
        <w:t>’s</w:t>
      </w:r>
      <w:proofErr w:type="spellEnd"/>
      <w:r w:rsidRPr="0004354A" w:rsidR="00C65C38">
        <w:rPr>
          <w:szCs w:val="22"/>
        </w:rPr>
        <w:t xml:space="preserve"> zullen worden gevraagd om </w:t>
      </w:r>
      <w:r w:rsidR="006A2B47">
        <w:rPr>
          <w:szCs w:val="22"/>
        </w:rPr>
        <w:t xml:space="preserve">bij hun achterban </w:t>
      </w:r>
      <w:r w:rsidRPr="0004354A" w:rsidR="00C65C38">
        <w:rPr>
          <w:szCs w:val="22"/>
        </w:rPr>
        <w:t xml:space="preserve">extra aandacht te vragen voor de bekendheid met het belang van signaleren en de handelingsoptie </w:t>
      </w:r>
      <w:r>
        <w:rPr>
          <w:szCs w:val="22"/>
        </w:rPr>
        <w:t xml:space="preserve">van het </w:t>
      </w:r>
      <w:r w:rsidRPr="0004354A" w:rsidR="00C65C38">
        <w:rPr>
          <w:szCs w:val="22"/>
        </w:rPr>
        <w:t>PHB</w:t>
      </w:r>
      <w:r>
        <w:rPr>
          <w:szCs w:val="22"/>
        </w:rPr>
        <w:t xml:space="preserve"> JGZ</w:t>
      </w:r>
      <w:r w:rsidRPr="0004354A" w:rsidR="0004354A">
        <w:rPr>
          <w:szCs w:val="22"/>
        </w:rPr>
        <w:t xml:space="preserve"> voor professionals in het ziekenhuis</w:t>
      </w:r>
      <w:r w:rsidRPr="0004354A" w:rsidR="00C65C38">
        <w:rPr>
          <w:szCs w:val="22"/>
        </w:rPr>
        <w:t>.</w:t>
      </w:r>
      <w:r w:rsidRPr="0004354A" w:rsidR="00C65C38">
        <w:rPr>
          <w:szCs w:val="22"/>
        </w:rPr>
        <w:br/>
      </w:r>
      <w:r w:rsidR="00A77530">
        <w:br/>
      </w:r>
      <w:r w:rsidRPr="00C65C38" w:rsidR="005225E2">
        <w:rPr>
          <w:rFonts w:eastAsiaTheme="minorHAnsi"/>
          <w:i/>
          <w:iCs/>
          <w:lang w:eastAsia="en-US"/>
          <w14:ligatures w14:val="standardContextual"/>
        </w:rPr>
        <w:t xml:space="preserve">Aanbeveling </w:t>
      </w:r>
      <w:r w:rsidRPr="00C65C38" w:rsidR="00A77530">
        <w:rPr>
          <w:rFonts w:eastAsiaTheme="minorHAnsi"/>
          <w:i/>
          <w:iCs/>
          <w:lang w:eastAsia="en-US"/>
          <w14:ligatures w14:val="standardContextual"/>
        </w:rPr>
        <w:t>7</w:t>
      </w:r>
      <w:r w:rsidRPr="00C65C38" w:rsidR="005225E2">
        <w:rPr>
          <w:rFonts w:eastAsiaTheme="minorHAnsi"/>
          <w:i/>
          <w:iCs/>
          <w:lang w:eastAsia="en-US"/>
          <w14:ligatures w14:val="standardContextual"/>
        </w:rPr>
        <w:t xml:space="preserve">: </w:t>
      </w:r>
      <w:r w:rsidRPr="00C65C38" w:rsidR="00A77530">
        <w:rPr>
          <w:rFonts w:eastAsiaTheme="minorHAnsi"/>
          <w:i/>
          <w:iCs/>
          <w:lang w:eastAsia="en-US"/>
          <w14:ligatures w14:val="standardContextual"/>
        </w:rPr>
        <w:t>Creëer een basiskader voor de aanmelding en terugkoppeling</w:t>
      </w:r>
      <w:r w:rsidRPr="00281454" w:rsidR="00A77530">
        <w:rPr>
          <w:color w:val="2D5564"/>
          <w:sz w:val="20"/>
          <w:szCs w:val="20"/>
        </w:rPr>
        <w:t xml:space="preserve"> </w:t>
      </w:r>
      <w:r w:rsidR="00C65C38">
        <w:rPr>
          <w:color w:val="2D5564"/>
          <w:sz w:val="20"/>
          <w:szCs w:val="20"/>
        </w:rPr>
        <w:br/>
      </w:r>
      <w:r w:rsidRPr="00C65C38" w:rsidR="00A77530">
        <w:t>In de uitvoering van het PHB JGZ worden gegevens gedeeld en verwerkt in het kader van de aanmelding en terugkoppeling van het PHB</w:t>
      </w:r>
      <w:r w:rsidR="00E93C1E">
        <w:t xml:space="preserve"> JGZ</w:t>
      </w:r>
      <w:r w:rsidRPr="00C65C38" w:rsidR="00A77530">
        <w:t xml:space="preserve">. Het verschilt hoe dit nu wordt gedaan (via welk platform, welke informatie gedeeld wordt, door wie). Daarmee wordt in de aanmelding soms meer informatie van een ouder uitgevraagd dan strikt noodzakelijk, wat onnodig drempels opwerpt. Ook creëert het extra administratieve lasten voor professionals wanneer zij in de ene gemeente rekening dienen te houden met andere vereisten dan in andere gemeenten. Voor terugkoppeling geldt dat dit nu (te) beperkt plaatsvindt, mede veroorzaakt door onduidelijkheid over welke informatie wel en niet mag worden teruggekoppeld en het ontbreken van afspraken hierover. Het creëren van meer uniformiteit en eenduidige kaders is van belang om het proces rond het PHB </w:t>
      </w:r>
      <w:r w:rsidR="00703FFC">
        <w:t xml:space="preserve">JGZ </w:t>
      </w:r>
      <w:r w:rsidRPr="00C65C38" w:rsidR="00A77530">
        <w:t>beter en zorgvuldiger te laten verlopen.</w:t>
      </w:r>
    </w:p>
    <w:p w:rsidR="00A77530" w:rsidP="00A77530" w:rsidRDefault="00A77530" w14:paraId="08743487" w14:textId="77777777"/>
    <w:p w:rsidRPr="003A497D" w:rsidR="003A497D" w:rsidP="00A77530" w:rsidRDefault="00A77530" w14:paraId="0C150826" w14:textId="32B88FAB">
      <w:pPr>
        <w:rPr>
          <w:rFonts w:cstheme="minorBidi"/>
          <w:color w:val="auto"/>
          <w:kern w:val="2"/>
          <w:szCs w:val="22"/>
        </w:rPr>
      </w:pPr>
      <w:r>
        <w:t xml:space="preserve">Actie: Het NCJ </w:t>
      </w:r>
      <w:r w:rsidR="00281454">
        <w:t xml:space="preserve">ontwikkelt </w:t>
      </w:r>
      <w:r w:rsidR="00CD1E7B">
        <w:t xml:space="preserve">in overleg met </w:t>
      </w:r>
      <w:r w:rsidRPr="00D85885" w:rsidR="00703FFC">
        <w:rPr>
          <w:color w:val="auto"/>
        </w:rPr>
        <w:t>KNOV</w:t>
      </w:r>
      <w:r w:rsidRPr="00D85885" w:rsidR="00D85885">
        <w:rPr>
          <w:color w:val="auto"/>
        </w:rPr>
        <w:t>,</w:t>
      </w:r>
      <w:r w:rsidRPr="00D85885" w:rsidR="00703FFC">
        <w:rPr>
          <w:color w:val="auto"/>
        </w:rPr>
        <w:t xml:space="preserve"> </w:t>
      </w:r>
      <w:r w:rsidR="00CD1E7B">
        <w:t xml:space="preserve">CPZ, GGD GHOR NL en </w:t>
      </w:r>
      <w:proofErr w:type="spellStart"/>
      <w:r w:rsidR="00CF2235">
        <w:t>ActiZ</w:t>
      </w:r>
      <w:proofErr w:type="spellEnd"/>
      <w:r w:rsidR="00CD1E7B">
        <w:t xml:space="preserve"> </w:t>
      </w:r>
      <w:r w:rsidR="00281454">
        <w:t xml:space="preserve">een </w:t>
      </w:r>
      <w:r w:rsidRPr="00E85995">
        <w:rPr>
          <w:rFonts w:cstheme="minorBidi"/>
          <w:color w:val="auto"/>
          <w:kern w:val="2"/>
          <w:szCs w:val="22"/>
        </w:rPr>
        <w:t xml:space="preserve">format </w:t>
      </w:r>
      <w:r w:rsidR="00281454">
        <w:rPr>
          <w:rFonts w:cstheme="minorBidi"/>
          <w:color w:val="auto"/>
          <w:kern w:val="2"/>
          <w:szCs w:val="22"/>
        </w:rPr>
        <w:t>voor een aanmeldformulier en een terugkoppelformulier</w:t>
      </w:r>
      <w:r w:rsidR="00164ECA">
        <w:rPr>
          <w:rFonts w:cstheme="minorBidi"/>
          <w:color w:val="auto"/>
          <w:kern w:val="2"/>
          <w:szCs w:val="22"/>
        </w:rPr>
        <w:t>, gebruikmakend van goede voorbeelden in het land</w:t>
      </w:r>
      <w:r w:rsidR="00281454">
        <w:rPr>
          <w:rFonts w:cstheme="minorBidi"/>
          <w:color w:val="auto"/>
          <w:kern w:val="2"/>
          <w:szCs w:val="22"/>
        </w:rPr>
        <w:t xml:space="preserve">. </w:t>
      </w:r>
      <w:r w:rsidRPr="00D85885" w:rsidR="00703FFC">
        <w:rPr>
          <w:rFonts w:cstheme="minorBidi"/>
          <w:color w:val="auto"/>
          <w:kern w:val="2"/>
          <w:szCs w:val="22"/>
        </w:rPr>
        <w:t>Belangrijk is dat</w:t>
      </w:r>
      <w:r w:rsidRPr="00D85885" w:rsidR="007767FC">
        <w:rPr>
          <w:rFonts w:cstheme="minorBidi"/>
          <w:color w:val="auto"/>
          <w:kern w:val="2"/>
          <w:szCs w:val="22"/>
        </w:rPr>
        <w:t xml:space="preserve"> alleen de (meest) noodzakelijke gegevens in deze formats </w:t>
      </w:r>
      <w:r w:rsidRPr="00D85885" w:rsidR="00703FFC">
        <w:rPr>
          <w:rFonts w:cstheme="minorBidi"/>
          <w:color w:val="auto"/>
          <w:kern w:val="2"/>
          <w:szCs w:val="22"/>
        </w:rPr>
        <w:t xml:space="preserve">worden opgenomen </w:t>
      </w:r>
      <w:r w:rsidR="007767FC">
        <w:rPr>
          <w:rFonts w:cstheme="minorBidi"/>
          <w:color w:val="auto"/>
          <w:kern w:val="2"/>
          <w:szCs w:val="22"/>
        </w:rPr>
        <w:t>zodat zo min mogelijk gegevens worden overgedragen. Hoewel het geboortezorg organisaties en JGZ</w:t>
      </w:r>
      <w:r w:rsidR="00F20DF9">
        <w:rPr>
          <w:rFonts w:cstheme="minorBidi"/>
          <w:color w:val="auto"/>
          <w:kern w:val="2"/>
          <w:szCs w:val="22"/>
        </w:rPr>
        <w:t>-</w:t>
      </w:r>
      <w:r w:rsidR="007767FC">
        <w:rPr>
          <w:rFonts w:cstheme="minorBidi"/>
          <w:color w:val="auto"/>
          <w:kern w:val="2"/>
          <w:szCs w:val="22"/>
        </w:rPr>
        <w:t>uitvoeringsorganisaties vrij staat hun eigen wijze van aanmelding en terugkoppeling in te regelen, laten deze formats zie</w:t>
      </w:r>
      <w:r w:rsidR="00164ECA">
        <w:rPr>
          <w:rFonts w:cstheme="minorBidi"/>
          <w:color w:val="auto"/>
          <w:kern w:val="2"/>
          <w:szCs w:val="22"/>
        </w:rPr>
        <w:t>n</w:t>
      </w:r>
      <w:r w:rsidR="007767FC">
        <w:rPr>
          <w:rFonts w:cstheme="minorBidi"/>
          <w:color w:val="auto"/>
          <w:kern w:val="2"/>
          <w:szCs w:val="22"/>
        </w:rPr>
        <w:t xml:space="preserve"> welke gegevens noodzakelijk zijn en kunnen deze formats </w:t>
      </w:r>
      <w:r w:rsidR="006A2B47">
        <w:rPr>
          <w:rFonts w:cstheme="minorBidi"/>
          <w:color w:val="auto"/>
          <w:kern w:val="2"/>
          <w:szCs w:val="22"/>
        </w:rPr>
        <w:t>helpen</w:t>
      </w:r>
      <w:r w:rsidR="007767FC">
        <w:rPr>
          <w:rFonts w:cstheme="minorBidi"/>
          <w:color w:val="auto"/>
          <w:kern w:val="2"/>
          <w:szCs w:val="22"/>
        </w:rPr>
        <w:t xml:space="preserve"> bij het bereiken van enige mate van uniformiteit van gegevensuitwisseling bij aanmelding en terugkoppeling.</w:t>
      </w:r>
      <w:r w:rsidR="00D85885">
        <w:rPr>
          <w:rFonts w:cstheme="minorBidi"/>
          <w:color w:val="auto"/>
          <w:kern w:val="2"/>
          <w:szCs w:val="22"/>
        </w:rPr>
        <w:t xml:space="preserve"> Daarnaast is het </w:t>
      </w:r>
      <w:r w:rsidR="006A2B47">
        <w:rPr>
          <w:rFonts w:cstheme="minorBidi"/>
          <w:color w:val="auto"/>
          <w:kern w:val="2"/>
          <w:szCs w:val="22"/>
        </w:rPr>
        <w:t>belangrijk</w:t>
      </w:r>
      <w:r w:rsidR="00D85885">
        <w:rPr>
          <w:rFonts w:cstheme="minorBidi"/>
          <w:color w:val="auto"/>
          <w:kern w:val="2"/>
          <w:szCs w:val="22"/>
        </w:rPr>
        <w:t xml:space="preserve"> dat het voor </w:t>
      </w:r>
      <w:proofErr w:type="spellStart"/>
      <w:r w:rsidR="00D85885">
        <w:rPr>
          <w:rFonts w:cstheme="minorBidi"/>
          <w:color w:val="auto"/>
          <w:kern w:val="2"/>
          <w:szCs w:val="22"/>
        </w:rPr>
        <w:t>zwangeren</w:t>
      </w:r>
      <w:proofErr w:type="spellEnd"/>
      <w:r w:rsidR="00D85885">
        <w:rPr>
          <w:rFonts w:cstheme="minorBidi"/>
          <w:color w:val="auto"/>
          <w:kern w:val="2"/>
          <w:szCs w:val="22"/>
        </w:rPr>
        <w:t xml:space="preserve"> in een kwetsbare situatie makkelijker wordt zich</w:t>
      </w:r>
      <w:r w:rsidR="000971E2">
        <w:rPr>
          <w:rFonts w:cstheme="minorBidi"/>
          <w:color w:val="auto"/>
          <w:kern w:val="2"/>
          <w:szCs w:val="22"/>
        </w:rPr>
        <w:t>zelf</w:t>
      </w:r>
      <w:r w:rsidR="00D85885">
        <w:rPr>
          <w:rFonts w:cstheme="minorBidi"/>
          <w:color w:val="auto"/>
          <w:kern w:val="2"/>
          <w:szCs w:val="22"/>
        </w:rPr>
        <w:t xml:space="preserve"> aan te melden. Het NCJ gaat daarom in </w:t>
      </w:r>
      <w:r w:rsidR="003D4F8C">
        <w:rPr>
          <w:rFonts w:cstheme="minorBidi"/>
          <w:color w:val="auto"/>
          <w:kern w:val="2"/>
          <w:szCs w:val="22"/>
        </w:rPr>
        <w:t xml:space="preserve">gesprek </w:t>
      </w:r>
      <w:r w:rsidR="00D85885">
        <w:rPr>
          <w:rFonts w:cstheme="minorBidi"/>
          <w:color w:val="auto"/>
          <w:kern w:val="2"/>
          <w:szCs w:val="22"/>
        </w:rPr>
        <w:t xml:space="preserve">met </w:t>
      </w:r>
      <w:r w:rsidR="003D4F8C">
        <w:rPr>
          <w:rFonts w:cstheme="minorBidi"/>
          <w:color w:val="auto"/>
          <w:kern w:val="2"/>
          <w:szCs w:val="22"/>
        </w:rPr>
        <w:br/>
      </w:r>
      <w:r w:rsidR="00D85885">
        <w:t xml:space="preserve">JGZ-uitvoeringsorganisaties </w:t>
      </w:r>
      <w:r w:rsidR="000971E2">
        <w:t xml:space="preserve">over </w:t>
      </w:r>
      <w:r w:rsidR="00D85885">
        <w:t>het belang van een duidelijke</w:t>
      </w:r>
      <w:r w:rsidR="003D4F8C">
        <w:t xml:space="preserve"> en zichtbare aanmeldfunctie op de sites van de JGZ-uitvoeringsorganisaties</w:t>
      </w:r>
      <w:r w:rsidR="00D85885">
        <w:t>.</w:t>
      </w:r>
      <w:r w:rsidR="003A497D">
        <w:t xml:space="preserve"> </w:t>
      </w:r>
      <w:r w:rsidR="000971E2">
        <w:t xml:space="preserve">Ook </w:t>
      </w:r>
      <w:r w:rsidR="00513EC3">
        <w:rPr>
          <w:rFonts w:cstheme="minorBidi"/>
          <w:color w:val="auto"/>
          <w:kern w:val="2"/>
          <w:szCs w:val="22"/>
        </w:rPr>
        <w:t>is bij de aanmelding (en in het gesprek met de verloskundig zorgverlener) van belang dat de zwangere cli</w:t>
      </w:r>
      <w:r w:rsidR="00CF2235">
        <w:rPr>
          <w:rFonts w:cstheme="minorBidi"/>
          <w:color w:val="auto"/>
          <w:kern w:val="2"/>
          <w:szCs w:val="22"/>
        </w:rPr>
        <w:t>ë</w:t>
      </w:r>
      <w:r w:rsidR="00513EC3">
        <w:rPr>
          <w:rFonts w:cstheme="minorBidi"/>
          <w:color w:val="auto"/>
          <w:kern w:val="2"/>
          <w:szCs w:val="22"/>
        </w:rPr>
        <w:t>nt</w:t>
      </w:r>
      <w:r w:rsidR="00CF2235">
        <w:rPr>
          <w:rFonts w:cstheme="minorBidi"/>
          <w:color w:val="auto"/>
          <w:kern w:val="2"/>
          <w:szCs w:val="22"/>
        </w:rPr>
        <w:t>e</w:t>
      </w:r>
      <w:r w:rsidR="00513EC3">
        <w:rPr>
          <w:rFonts w:cstheme="minorBidi"/>
          <w:color w:val="auto"/>
          <w:kern w:val="2"/>
          <w:szCs w:val="22"/>
        </w:rPr>
        <w:t xml:space="preserve"> in een kwetsbare situatie goed is geïnformeerd over het PHB </w:t>
      </w:r>
      <w:r w:rsidR="00513EC3">
        <w:rPr>
          <w:rFonts w:cstheme="minorBidi"/>
          <w:color w:val="auto"/>
          <w:kern w:val="2"/>
          <w:szCs w:val="22"/>
        </w:rPr>
        <w:lastRenderedPageBreak/>
        <w:t>JGZ en</w:t>
      </w:r>
      <w:r w:rsidR="000971E2">
        <w:rPr>
          <w:rFonts w:cstheme="minorBidi"/>
          <w:color w:val="auto"/>
          <w:kern w:val="2"/>
          <w:szCs w:val="22"/>
        </w:rPr>
        <w:t xml:space="preserve"> dat</w:t>
      </w:r>
      <w:r w:rsidR="00513EC3">
        <w:rPr>
          <w:rFonts w:cstheme="minorBidi"/>
          <w:color w:val="auto"/>
          <w:kern w:val="2"/>
          <w:szCs w:val="22"/>
        </w:rPr>
        <w:t xml:space="preserve"> zij daar waar nodig en gewenst hierover het gesprek aangaat met verloskundig zorgverleners. Het NCJ </w:t>
      </w:r>
      <w:r w:rsidR="003A497D">
        <w:rPr>
          <w:rFonts w:cstheme="minorBidi"/>
          <w:color w:val="auto"/>
          <w:kern w:val="2"/>
          <w:szCs w:val="22"/>
        </w:rPr>
        <w:t xml:space="preserve">gaat </w:t>
      </w:r>
      <w:r w:rsidR="00513EC3">
        <w:rPr>
          <w:rFonts w:cstheme="minorBidi"/>
          <w:color w:val="auto"/>
          <w:kern w:val="2"/>
          <w:szCs w:val="22"/>
        </w:rPr>
        <w:t xml:space="preserve">daarom de eerder ontwikkelde ouderfolder PHB JGZ </w:t>
      </w:r>
      <w:proofErr w:type="spellStart"/>
      <w:r w:rsidR="00513EC3">
        <w:rPr>
          <w:rFonts w:cstheme="minorBidi"/>
          <w:color w:val="auto"/>
          <w:kern w:val="2"/>
          <w:szCs w:val="22"/>
        </w:rPr>
        <w:t>doorontwikkelen</w:t>
      </w:r>
      <w:proofErr w:type="spellEnd"/>
      <w:r w:rsidR="00513EC3">
        <w:rPr>
          <w:rFonts w:cstheme="minorBidi"/>
          <w:color w:val="auto"/>
          <w:kern w:val="2"/>
          <w:szCs w:val="22"/>
        </w:rPr>
        <w:t>, waarbij aandacht zal zijn voor het normaliseren van het bespreken van een</w:t>
      </w:r>
      <w:r w:rsidR="00305F72">
        <w:rPr>
          <w:rFonts w:cstheme="minorBidi"/>
          <w:color w:val="auto"/>
          <w:kern w:val="2"/>
          <w:szCs w:val="22"/>
        </w:rPr>
        <w:t xml:space="preserve"> PHB JGZ</w:t>
      </w:r>
      <w:r w:rsidR="00513EC3">
        <w:rPr>
          <w:rFonts w:cstheme="minorBidi"/>
          <w:color w:val="auto"/>
          <w:kern w:val="2"/>
          <w:szCs w:val="22"/>
        </w:rPr>
        <w:t xml:space="preserve"> door de zwangere cli</w:t>
      </w:r>
      <w:r w:rsidR="008F6C23">
        <w:rPr>
          <w:rFonts w:cstheme="minorBidi"/>
          <w:color w:val="auto"/>
          <w:kern w:val="2"/>
          <w:szCs w:val="22"/>
        </w:rPr>
        <w:t>ë</w:t>
      </w:r>
      <w:r w:rsidR="00513EC3">
        <w:rPr>
          <w:rFonts w:cstheme="minorBidi"/>
          <w:color w:val="auto"/>
          <w:kern w:val="2"/>
          <w:szCs w:val="22"/>
        </w:rPr>
        <w:t>nt</w:t>
      </w:r>
      <w:r w:rsidR="008F6C23">
        <w:rPr>
          <w:rFonts w:cstheme="minorBidi"/>
          <w:color w:val="auto"/>
          <w:kern w:val="2"/>
          <w:szCs w:val="22"/>
        </w:rPr>
        <w:t>e</w:t>
      </w:r>
      <w:r w:rsidR="00513EC3">
        <w:rPr>
          <w:rFonts w:cstheme="minorBidi"/>
          <w:color w:val="auto"/>
          <w:kern w:val="2"/>
          <w:szCs w:val="22"/>
        </w:rPr>
        <w:t xml:space="preserve"> in een kwetsbare situatie</w:t>
      </w:r>
      <w:r w:rsidR="003A497D">
        <w:rPr>
          <w:rFonts w:cstheme="minorBidi"/>
          <w:color w:val="auto"/>
          <w:kern w:val="2"/>
          <w:szCs w:val="22"/>
        </w:rPr>
        <w:t>.</w:t>
      </w:r>
    </w:p>
    <w:p w:rsidRPr="00E85995" w:rsidR="00A77530" w:rsidP="00A77530" w:rsidRDefault="00A77530" w14:paraId="1625664C" w14:textId="77777777">
      <w:pPr>
        <w:rPr>
          <w:b/>
          <w:bCs/>
        </w:rPr>
      </w:pPr>
    </w:p>
    <w:p w:rsidRPr="009F6F01" w:rsidR="00A77530" w:rsidP="00A77530" w:rsidRDefault="005225E2" w14:paraId="33D23246" w14:textId="0321C7F2">
      <w:pPr>
        <w:pStyle w:val="Default"/>
        <w:rPr>
          <w:rFonts w:ascii="Verdana" w:hAnsi="Verdana" w:cstheme="minorBidi"/>
          <w:color w:val="auto"/>
          <w:kern w:val="2"/>
          <w:sz w:val="18"/>
          <w:szCs w:val="22"/>
        </w:rPr>
      </w:pPr>
      <w:bookmarkStart w:name="_Hlk167962557" w:id="3"/>
      <w:r w:rsidRPr="009F6F01">
        <w:rPr>
          <w:rFonts w:ascii="Verdana" w:hAnsi="Verdana" w:cstheme="minorBidi"/>
          <w:i/>
          <w:iCs/>
          <w:color w:val="auto"/>
          <w:kern w:val="2"/>
          <w:sz w:val="18"/>
          <w:szCs w:val="22"/>
        </w:rPr>
        <w:t xml:space="preserve">Aanbeveling </w:t>
      </w:r>
      <w:r w:rsidRPr="009F6F01" w:rsidR="00A77530">
        <w:rPr>
          <w:rFonts w:ascii="Verdana" w:hAnsi="Verdana" w:cstheme="minorBidi"/>
          <w:i/>
          <w:iCs/>
          <w:color w:val="auto"/>
          <w:kern w:val="2"/>
          <w:sz w:val="18"/>
          <w:szCs w:val="22"/>
        </w:rPr>
        <w:t>8</w:t>
      </w:r>
      <w:r w:rsidRPr="009F6F01">
        <w:rPr>
          <w:rFonts w:ascii="Verdana" w:hAnsi="Verdana" w:cstheme="minorBidi"/>
          <w:i/>
          <w:iCs/>
          <w:color w:val="auto"/>
          <w:kern w:val="2"/>
          <w:sz w:val="18"/>
          <w:szCs w:val="22"/>
        </w:rPr>
        <w:t>:</w:t>
      </w:r>
      <w:r w:rsidRPr="009F6F01" w:rsidR="00A77530">
        <w:rPr>
          <w:rFonts w:ascii="Verdana" w:hAnsi="Verdana" w:cstheme="minorBidi"/>
          <w:i/>
          <w:iCs/>
          <w:color w:val="auto"/>
          <w:kern w:val="2"/>
          <w:sz w:val="18"/>
          <w:szCs w:val="22"/>
        </w:rPr>
        <w:t xml:space="preserve"> Maak vaart met de invoering van het ouderdossier</w:t>
      </w:r>
      <w:r w:rsidRPr="009F6F01" w:rsidR="00A77530">
        <w:br/>
      </w:r>
      <w:r w:rsidR="0099007C">
        <w:rPr>
          <w:rFonts w:ascii="Verdana" w:hAnsi="Verdana" w:cstheme="minorBidi"/>
          <w:color w:val="auto"/>
          <w:kern w:val="2"/>
          <w:sz w:val="18"/>
          <w:szCs w:val="22"/>
        </w:rPr>
        <w:t xml:space="preserve">Het veilig en zorgvuldig registreren van gegevens over het PHB(-gezin) is nog niet goed geregeld. Ouderdossiers </w:t>
      </w:r>
      <w:r w:rsidRPr="009F6F01" w:rsidR="00A77530">
        <w:rPr>
          <w:rFonts w:ascii="Verdana" w:hAnsi="Verdana" w:cstheme="minorBidi"/>
          <w:color w:val="auto"/>
          <w:kern w:val="2"/>
          <w:sz w:val="18"/>
          <w:szCs w:val="22"/>
        </w:rPr>
        <w:t xml:space="preserve">worden nog niet overal gebruikt voor de registratie van het PHB </w:t>
      </w:r>
      <w:r w:rsidRPr="009F6F01" w:rsidR="00E93C1E">
        <w:rPr>
          <w:rFonts w:ascii="Verdana" w:hAnsi="Verdana" w:cstheme="minorBidi"/>
          <w:color w:val="auto"/>
          <w:kern w:val="2"/>
          <w:sz w:val="18"/>
          <w:szCs w:val="22"/>
        </w:rPr>
        <w:t xml:space="preserve">JGZ </w:t>
      </w:r>
      <w:r w:rsidRPr="009F6F01" w:rsidR="00A77530">
        <w:rPr>
          <w:rFonts w:ascii="Verdana" w:hAnsi="Verdana" w:cstheme="minorBidi"/>
          <w:color w:val="auto"/>
          <w:kern w:val="2"/>
          <w:sz w:val="18"/>
          <w:szCs w:val="22"/>
        </w:rPr>
        <w:t xml:space="preserve">en landelijke richtlijnen voor het ouderdossier ontbreken. Dit is een onwenselijke situatie en levert het risico op dat gevoelige persoonsgegevens van (aanstaande) ouders op ongewenste locaties worden opgeslagen. </w:t>
      </w:r>
    </w:p>
    <w:p w:rsidRPr="009F6F01" w:rsidR="00A77530" w:rsidP="00A77530" w:rsidRDefault="00A77530" w14:paraId="21DF77E8" w14:textId="77777777">
      <w:pPr>
        <w:rPr>
          <w:b/>
          <w:bCs/>
        </w:rPr>
      </w:pPr>
    </w:p>
    <w:p w:rsidR="00510DEB" w:rsidP="00A77530" w:rsidRDefault="008974BF" w14:paraId="1727F8E3" w14:textId="085D1040">
      <w:bookmarkStart w:name="_Hlk168040405" w:id="4"/>
      <w:r w:rsidRPr="009F6F01">
        <w:t xml:space="preserve">Actie: Het </w:t>
      </w:r>
      <w:r w:rsidRPr="003E00C1" w:rsidR="009F6F01">
        <w:t xml:space="preserve">is van groot belang dat gegevens </w:t>
      </w:r>
      <w:r w:rsidR="000971E2">
        <w:t>over</w:t>
      </w:r>
      <w:r w:rsidRPr="003E00C1" w:rsidR="000971E2">
        <w:t xml:space="preserve"> </w:t>
      </w:r>
      <w:r w:rsidRPr="003E00C1" w:rsidR="009F6F01">
        <w:t xml:space="preserve">het PHB JGZ </w:t>
      </w:r>
      <w:r w:rsidRPr="003E00C1">
        <w:t xml:space="preserve">goed en eenduidig </w:t>
      </w:r>
      <w:r w:rsidRPr="003E00C1" w:rsidR="009F6F01">
        <w:t>worden geregistreerd</w:t>
      </w:r>
      <w:r w:rsidRPr="009F6F01">
        <w:t xml:space="preserve"> in een volwassen</w:t>
      </w:r>
      <w:r w:rsidRPr="003E00C1" w:rsidR="002D2401">
        <w:t>en</w:t>
      </w:r>
      <w:r w:rsidRPr="009F6F01">
        <w:t>dossier</w:t>
      </w:r>
      <w:r w:rsidRPr="003E00C1" w:rsidR="002D2401">
        <w:t>.</w:t>
      </w:r>
      <w:r w:rsidRPr="009F6F01">
        <w:t xml:space="preserve"> </w:t>
      </w:r>
      <w:r w:rsidRPr="003E00C1" w:rsidR="009F6F01">
        <w:t>Op dit moment is er nog geen</w:t>
      </w:r>
      <w:r w:rsidRPr="003E00C1" w:rsidR="002D2401">
        <w:t xml:space="preserve"> landelijke basisdataset voor het volwassenendossier. </w:t>
      </w:r>
      <w:r w:rsidRPr="009F6F01">
        <w:t>De verschillende softwareleveranciers van JGZ</w:t>
      </w:r>
      <w:r w:rsidR="00F20DF9">
        <w:t>-</w:t>
      </w:r>
      <w:r w:rsidRPr="009F6F01">
        <w:t xml:space="preserve">uitvoeringsorganisaties hebben </w:t>
      </w:r>
      <w:r w:rsidR="003E00C1">
        <w:t xml:space="preserve">in de tussentijd </w:t>
      </w:r>
      <w:r w:rsidRPr="003E00C1" w:rsidR="009F6F01">
        <w:t xml:space="preserve">eigen </w:t>
      </w:r>
      <w:r w:rsidRPr="003E00C1" w:rsidR="002D2401">
        <w:t>mogelijkheden ontwikkeld waarmee gegevens over het PHB JGZ geregistreerd kunnen worden</w:t>
      </w:r>
      <w:r w:rsidRPr="009F6F01">
        <w:t xml:space="preserve">. </w:t>
      </w:r>
      <w:r w:rsidRPr="003E00C1" w:rsidR="002D2401">
        <w:t xml:space="preserve">Veld- en ketenpartijen werken aan een landelijke basisdataset voor het registreren en </w:t>
      </w:r>
      <w:r w:rsidRPr="003E00C1" w:rsidR="009F6F01">
        <w:t>uitwisselen</w:t>
      </w:r>
      <w:r w:rsidRPr="003E00C1" w:rsidR="002D2401">
        <w:t xml:space="preserve"> van gegevens rond het PHB JGZ. </w:t>
      </w:r>
      <w:r w:rsidRPr="009F6F01">
        <w:t>Zodra de landelijke basisdataset voor het volwassenendossier gereed is</w:t>
      </w:r>
      <w:r w:rsidR="00D95E1D">
        <w:t>,</w:t>
      </w:r>
      <w:r w:rsidRPr="009F6F01">
        <w:t xml:space="preserve"> </w:t>
      </w:r>
      <w:r w:rsidRPr="003E00C1" w:rsidR="009F6F01">
        <w:t xml:space="preserve">wordt deze door </w:t>
      </w:r>
      <w:r w:rsidRPr="009F6F01">
        <w:t xml:space="preserve">softwareleveranciers in hun applicatie </w:t>
      </w:r>
      <w:r w:rsidRPr="003E00C1" w:rsidR="009F6F01">
        <w:t>geïmplementeerd</w:t>
      </w:r>
      <w:r w:rsidRPr="009F6F01">
        <w:t>. De landelijke basisdataset voor</w:t>
      </w:r>
      <w:r w:rsidRPr="003E00C1" w:rsidR="009F6F01">
        <w:t xml:space="preserve"> gegevens voor volwassenen binnen de JGZ </w:t>
      </w:r>
      <w:r w:rsidRPr="009F6F01">
        <w:t xml:space="preserve">is </w:t>
      </w:r>
      <w:r w:rsidRPr="003E00C1" w:rsidR="009F6F01">
        <w:t xml:space="preserve">dus </w:t>
      </w:r>
      <w:r w:rsidRPr="009F6F01">
        <w:t xml:space="preserve">in ontwikkeling en de </w:t>
      </w:r>
      <w:proofErr w:type="spellStart"/>
      <w:r w:rsidRPr="009F6F01">
        <w:t>Governance</w:t>
      </w:r>
      <w:proofErr w:type="spellEnd"/>
      <w:r w:rsidRPr="009F6F01">
        <w:t xml:space="preserve"> informatiestandaard JGZ houdt de voortgang in de gaten</w:t>
      </w:r>
      <w:r w:rsidRPr="003E00C1" w:rsidR="009F6F01">
        <w:t xml:space="preserve">. Dit zodat de </w:t>
      </w:r>
      <w:r w:rsidRPr="009F6F01">
        <w:t>huidige planning gehaald wordt en alle JGZ</w:t>
      </w:r>
      <w:r w:rsidR="00F20DF9">
        <w:t>-uitvoerings</w:t>
      </w:r>
      <w:r w:rsidRPr="009F6F01">
        <w:t xml:space="preserve">organisaties in </w:t>
      </w:r>
      <w:r w:rsidRPr="003E00C1" w:rsidR="00051AD1">
        <w:t xml:space="preserve">ieder geval vanaf </w:t>
      </w:r>
      <w:r w:rsidRPr="009F6F01">
        <w:t xml:space="preserve">de </w:t>
      </w:r>
      <w:r w:rsidRPr="003E00C1" w:rsidR="00051AD1">
        <w:t>tweede</w:t>
      </w:r>
      <w:r w:rsidRPr="009F6F01" w:rsidR="00051AD1">
        <w:t xml:space="preserve"> </w:t>
      </w:r>
      <w:r w:rsidRPr="009F6F01">
        <w:t xml:space="preserve">helft van 2025 kunnen registreren met </w:t>
      </w:r>
      <w:r w:rsidRPr="003E00C1" w:rsidR="00FD03F4">
        <w:t xml:space="preserve">de </w:t>
      </w:r>
      <w:r w:rsidRPr="009F6F01">
        <w:t>landelijke basisdataset.</w:t>
      </w:r>
      <w:r>
        <w:t xml:space="preserve"> </w:t>
      </w:r>
      <w:r w:rsidR="003F45BF">
        <w:t xml:space="preserve">Voor de volgende evaluatie </w:t>
      </w:r>
      <w:r w:rsidR="00E04BAA">
        <w:t xml:space="preserve">(voorzien voor eind 2026) </w:t>
      </w:r>
      <w:r w:rsidR="003F45BF">
        <w:t>waarin</w:t>
      </w:r>
      <w:r w:rsidRPr="00B501D8" w:rsidR="003F45BF">
        <w:t xml:space="preserve"> </w:t>
      </w:r>
      <w:r w:rsidR="003F45BF">
        <w:t xml:space="preserve">gekeken wordt naar de doeltreffendheid van deze </w:t>
      </w:r>
      <w:r w:rsidR="0099007C">
        <w:t xml:space="preserve">wetswijziging </w:t>
      </w:r>
      <w:r w:rsidR="003F45BF">
        <w:t xml:space="preserve">zijn dan in ieder geval data beschikbaar over één kalenderjaar. </w:t>
      </w:r>
      <w:bookmarkEnd w:id="4"/>
    </w:p>
    <w:bookmarkEnd w:id="3"/>
    <w:p w:rsidRPr="00624378" w:rsidR="00A77530" w:rsidP="00A77530" w:rsidRDefault="00A77530" w14:paraId="63DA48B7" w14:textId="77777777"/>
    <w:p w:rsidR="00A77530" w:rsidP="00A77530" w:rsidRDefault="005225E2" w14:paraId="4824809A" w14:textId="765DF2D2">
      <w:r>
        <w:rPr>
          <w:i/>
          <w:iCs/>
          <w:color w:val="auto"/>
          <w:szCs w:val="22"/>
        </w:rPr>
        <w:t xml:space="preserve">Aanbeveling </w:t>
      </w:r>
      <w:r w:rsidRPr="007767FC" w:rsidR="00A77530">
        <w:rPr>
          <w:i/>
          <w:iCs/>
          <w:color w:val="auto"/>
          <w:szCs w:val="22"/>
        </w:rPr>
        <w:t>9</w:t>
      </w:r>
      <w:r>
        <w:rPr>
          <w:i/>
          <w:iCs/>
          <w:color w:val="auto"/>
          <w:szCs w:val="22"/>
        </w:rPr>
        <w:t>:</w:t>
      </w:r>
      <w:r w:rsidRPr="007767FC" w:rsidR="00A77530">
        <w:rPr>
          <w:i/>
          <w:iCs/>
          <w:color w:val="auto"/>
          <w:szCs w:val="22"/>
        </w:rPr>
        <w:t xml:space="preserve"> Geef de gemeentelijke regierol nader invulling</w:t>
      </w:r>
      <w:r w:rsidR="00A77530">
        <w:rPr>
          <w:b/>
          <w:bCs/>
        </w:rPr>
        <w:br/>
      </w:r>
      <w:r w:rsidRPr="00624378" w:rsidR="00A77530">
        <w:rPr>
          <w:szCs w:val="22"/>
        </w:rPr>
        <w:t>Dit onderzoek laat zien dat gemeenten veelal niet nauw betrokken zijn bij de uitvoering van het PHB</w:t>
      </w:r>
      <w:r w:rsidR="00E93C1E">
        <w:rPr>
          <w:szCs w:val="22"/>
        </w:rPr>
        <w:t xml:space="preserve"> JGZ</w:t>
      </w:r>
      <w:r w:rsidRPr="00624378" w:rsidR="00A77530">
        <w:rPr>
          <w:szCs w:val="22"/>
        </w:rPr>
        <w:t xml:space="preserve">. Gemeenten laten dit grotendeels aan </w:t>
      </w:r>
      <w:r w:rsidR="00F20DF9">
        <w:rPr>
          <w:szCs w:val="22"/>
        </w:rPr>
        <w:br/>
      </w:r>
      <w:r w:rsidRPr="00624378" w:rsidR="00A77530">
        <w:rPr>
          <w:szCs w:val="22"/>
        </w:rPr>
        <w:t>JGZ-</w:t>
      </w:r>
      <w:r w:rsidR="00F20DF9">
        <w:rPr>
          <w:szCs w:val="22"/>
        </w:rPr>
        <w:t>uitvoerings</w:t>
      </w:r>
      <w:r w:rsidRPr="00624378" w:rsidR="00A77530">
        <w:rPr>
          <w:szCs w:val="22"/>
        </w:rPr>
        <w:t>organisaties en er is (nog) beperkt zicht op hoe groot de potentiële populatie is/ gaat zijn en hoeveel inzet het PHB</w:t>
      </w:r>
      <w:r w:rsidR="00E93C1E">
        <w:rPr>
          <w:szCs w:val="22"/>
        </w:rPr>
        <w:t xml:space="preserve"> JGZ</w:t>
      </w:r>
      <w:r w:rsidRPr="00624378" w:rsidR="00A77530">
        <w:rPr>
          <w:szCs w:val="22"/>
        </w:rPr>
        <w:t xml:space="preserve"> vraagt. Dit kan risico’s opleveren wanneer het PHB</w:t>
      </w:r>
      <w:r w:rsidR="00E93C1E">
        <w:rPr>
          <w:szCs w:val="22"/>
        </w:rPr>
        <w:t xml:space="preserve"> JGZ</w:t>
      </w:r>
      <w:r w:rsidRPr="00624378" w:rsidR="00A77530">
        <w:rPr>
          <w:szCs w:val="22"/>
        </w:rPr>
        <w:t xml:space="preserve"> na de fase van implementatie meer ‘op stoom’ komt en er bijvoorbeeld strakker op capaciteit en/of middelen gestuurd moet worden.</w:t>
      </w:r>
      <w:r w:rsidR="007767FC">
        <w:rPr>
          <w:szCs w:val="22"/>
        </w:rPr>
        <w:br/>
      </w:r>
    </w:p>
    <w:p w:rsidR="00A77530" w:rsidP="00A77530" w:rsidRDefault="00A77530" w14:paraId="3B6671E8" w14:textId="421C3950">
      <w:r>
        <w:t xml:space="preserve">Actie: </w:t>
      </w:r>
      <w:r w:rsidR="00CD1E7B">
        <w:t xml:space="preserve">In overleg met </w:t>
      </w:r>
      <w:r w:rsidR="008175D7">
        <w:t>gemeenten</w:t>
      </w:r>
      <w:r w:rsidR="00CD1E7B">
        <w:t xml:space="preserve"> zal de </w:t>
      </w:r>
      <w:r>
        <w:t>VNG bij haar leden aandacht vragen voor het belang van (nauwe) betrokkenheid bij de uitvoering van het PHB JGZ</w:t>
      </w:r>
      <w:r w:rsidR="007767FC">
        <w:t xml:space="preserve"> en monitoring hiervan</w:t>
      </w:r>
      <w:r w:rsidR="009A4AA0">
        <w:t xml:space="preserve"> gelet op de wettelijke taak die zij hebben. Voor een goede uitvoering van deze taak </w:t>
      </w:r>
      <w:r w:rsidR="008F6C23">
        <w:t xml:space="preserve">hebben </w:t>
      </w:r>
      <w:r w:rsidR="009A4AA0">
        <w:t xml:space="preserve">gemeenten </w:t>
      </w:r>
      <w:r w:rsidR="008F6C23">
        <w:t xml:space="preserve">goed </w:t>
      </w:r>
      <w:r>
        <w:t xml:space="preserve">zicht </w:t>
      </w:r>
      <w:r w:rsidR="008F6C23">
        <w:t xml:space="preserve">nodig </w:t>
      </w:r>
      <w:r>
        <w:t xml:space="preserve">op de potentiële populatie, de eventuele groei hierin en hoeveel inzet het PHB JGZ van </w:t>
      </w:r>
      <w:r w:rsidR="00424F4E">
        <w:br/>
      </w:r>
      <w:r>
        <w:t>JGZ</w:t>
      </w:r>
      <w:r w:rsidR="00F20DF9">
        <w:t>-</w:t>
      </w:r>
      <w:r>
        <w:t xml:space="preserve">uitvoeringsorganisaties vraagt, zowel financieel als qua capaciteit.  </w:t>
      </w:r>
      <w:r>
        <w:br/>
      </w:r>
    </w:p>
    <w:p w:rsidRPr="007767FC" w:rsidR="00A77530" w:rsidP="00A77530" w:rsidRDefault="005225E2" w14:paraId="642CA294" w14:textId="5F32B41B">
      <w:pPr>
        <w:pStyle w:val="Default"/>
        <w:rPr>
          <w:rFonts w:ascii="Verdana" w:hAnsi="Verdana" w:cstheme="minorBidi"/>
          <w:i/>
          <w:iCs/>
          <w:color w:val="auto"/>
          <w:kern w:val="2"/>
          <w:sz w:val="18"/>
          <w:szCs w:val="22"/>
        </w:rPr>
      </w:pPr>
      <w:r>
        <w:rPr>
          <w:rFonts w:ascii="Verdana" w:hAnsi="Verdana" w:cstheme="minorBidi"/>
          <w:i/>
          <w:iCs/>
          <w:color w:val="auto"/>
          <w:kern w:val="2"/>
          <w:sz w:val="18"/>
          <w:szCs w:val="22"/>
        </w:rPr>
        <w:t xml:space="preserve">Aanbeveling </w:t>
      </w:r>
      <w:r w:rsidRPr="007767FC" w:rsidR="00A77530">
        <w:rPr>
          <w:rFonts w:ascii="Verdana" w:hAnsi="Verdana" w:cstheme="minorBidi"/>
          <w:i/>
          <w:iCs/>
          <w:color w:val="auto"/>
          <w:kern w:val="2"/>
          <w:sz w:val="18"/>
          <w:szCs w:val="22"/>
        </w:rPr>
        <w:t>10</w:t>
      </w:r>
      <w:r>
        <w:rPr>
          <w:rFonts w:ascii="Verdana" w:hAnsi="Verdana" w:cstheme="minorBidi"/>
          <w:i/>
          <w:iCs/>
          <w:color w:val="auto"/>
          <w:kern w:val="2"/>
          <w:sz w:val="18"/>
          <w:szCs w:val="22"/>
        </w:rPr>
        <w:t>:</w:t>
      </w:r>
      <w:r w:rsidRPr="007767FC" w:rsidR="00A77530">
        <w:rPr>
          <w:rFonts w:ascii="Verdana" w:hAnsi="Verdana" w:cstheme="minorBidi"/>
          <w:i/>
          <w:iCs/>
          <w:color w:val="auto"/>
          <w:kern w:val="2"/>
          <w:sz w:val="18"/>
          <w:szCs w:val="22"/>
        </w:rPr>
        <w:t xml:space="preserve"> Zet in op landelijke monitoring van de uitvoering van het PHB </w:t>
      </w:r>
      <w:r w:rsidR="00E93C1E">
        <w:rPr>
          <w:rFonts w:ascii="Verdana" w:hAnsi="Verdana" w:cstheme="minorBidi"/>
          <w:i/>
          <w:iCs/>
          <w:color w:val="auto"/>
          <w:kern w:val="2"/>
          <w:sz w:val="18"/>
          <w:szCs w:val="22"/>
        </w:rPr>
        <w:t>JGZ</w:t>
      </w:r>
    </w:p>
    <w:p w:rsidR="00773D67" w:rsidP="00A77530" w:rsidRDefault="00A77530" w14:paraId="5BF862C5" w14:textId="13EAA128">
      <w:pPr>
        <w:rPr>
          <w:szCs w:val="22"/>
        </w:rPr>
      </w:pPr>
      <w:r w:rsidRPr="001A7E72">
        <w:rPr>
          <w:szCs w:val="22"/>
        </w:rPr>
        <w:t xml:space="preserve">De inzichten die gemeenten nodig hebben om hun regierol in te vullen, zijn ook op landelijk niveau nodig om zicht te hebben op de uitvoering van het PHB </w:t>
      </w:r>
      <w:r w:rsidR="00E93C1E">
        <w:rPr>
          <w:szCs w:val="22"/>
        </w:rPr>
        <w:t xml:space="preserve">JGZ </w:t>
      </w:r>
      <w:r w:rsidRPr="001A7E72">
        <w:rPr>
          <w:szCs w:val="22"/>
        </w:rPr>
        <w:t>en hier waar nodig op bij te sturen.</w:t>
      </w:r>
      <w:r w:rsidR="008C6052">
        <w:rPr>
          <w:szCs w:val="22"/>
        </w:rPr>
        <w:br/>
      </w:r>
    </w:p>
    <w:p w:rsidRPr="001A7E72" w:rsidR="00A77530" w:rsidP="00A77530" w:rsidRDefault="00A77530" w14:paraId="2302A3AE" w14:textId="0D6AD777">
      <w:r>
        <w:t xml:space="preserve">Actie: Van belang is dat de inzet van het PHB JGZ goed wordt geregistreerd, zowel op landelijk als gemeentelijk niveau. </w:t>
      </w:r>
      <w:r w:rsidR="00B038CF">
        <w:t xml:space="preserve">Zoals in de aanbeveling hiervoor is </w:t>
      </w:r>
      <w:r w:rsidR="00B038CF">
        <w:lastRenderedPageBreak/>
        <w:t xml:space="preserve">opgenomen zal de VNG bij haar leden aandacht vragen voor het belang van de nauwe betrokkenheid bij de monitoring van het PHB JGZ. </w:t>
      </w:r>
      <w:r w:rsidR="000971E2">
        <w:t>Zoals gezegd wordt op</w:t>
      </w:r>
      <w:r w:rsidR="00B038CF">
        <w:t xml:space="preserve"> landelijk niveau </w:t>
      </w:r>
      <w:r w:rsidR="00E93C1E">
        <w:t xml:space="preserve">gewerkt aan het realiseren van een landelijke basisdataset voor </w:t>
      </w:r>
      <w:r w:rsidR="000971E2">
        <w:t xml:space="preserve">het eenduidig registeren van het PHB JGZ in </w:t>
      </w:r>
      <w:r w:rsidR="00E93C1E">
        <w:t xml:space="preserve">het volwassenendossier. </w:t>
      </w:r>
      <w:r w:rsidR="00A0121D">
        <w:t xml:space="preserve">Voorts </w:t>
      </w:r>
      <w:r w:rsidR="00E93C1E">
        <w:t>wordt gebruik gemaakt van de informatie uit</w:t>
      </w:r>
      <w:r w:rsidR="00B038CF">
        <w:t xml:space="preserve"> </w:t>
      </w:r>
      <w:r>
        <w:t xml:space="preserve">de monitor Kansrijke Start </w:t>
      </w:r>
      <w:r w:rsidR="00164ECA">
        <w:t>van het RIVM</w:t>
      </w:r>
      <w:r w:rsidR="007E7738">
        <w:t>, de jaarlijkse vragenlijst Kansrijke Start aan gemeenten</w:t>
      </w:r>
      <w:r w:rsidR="00B038CF">
        <w:t xml:space="preserve"> en de monitor van het NCJ </w:t>
      </w:r>
      <w:r w:rsidR="000971E2">
        <w:t xml:space="preserve">over </w:t>
      </w:r>
      <w:r>
        <w:t xml:space="preserve">het PHB </w:t>
      </w:r>
      <w:r w:rsidR="008974BF">
        <w:t>JGZ</w:t>
      </w:r>
      <w:r w:rsidR="00C02E8C">
        <w:t xml:space="preserve"> </w:t>
      </w:r>
      <w:r w:rsidRPr="001A7E72" w:rsidR="00C02E8C">
        <w:rPr>
          <w:szCs w:val="22"/>
        </w:rPr>
        <w:t xml:space="preserve">om zicht te hebben op de uitvoering van het PHB </w:t>
      </w:r>
      <w:r w:rsidR="00C02E8C">
        <w:rPr>
          <w:szCs w:val="22"/>
        </w:rPr>
        <w:t>JGZ</w:t>
      </w:r>
      <w:r>
        <w:t>.</w:t>
      </w:r>
      <w:r w:rsidR="00E93C1E">
        <w:t xml:space="preserve"> </w:t>
      </w:r>
    </w:p>
    <w:bookmarkEnd w:id="0"/>
    <w:p w:rsidR="00575CDA" w:rsidRDefault="00575CDA" w14:paraId="5C530DBE" w14:textId="77777777"/>
    <w:p w:rsidRPr="00773D67" w:rsidR="00773D67" w:rsidRDefault="00773D67" w14:paraId="3D505E44" w14:textId="77777777">
      <w:pPr>
        <w:rPr>
          <w:b/>
          <w:bCs/>
        </w:rPr>
      </w:pPr>
      <w:r w:rsidRPr="00773D67">
        <w:rPr>
          <w:b/>
          <w:bCs/>
        </w:rPr>
        <w:t xml:space="preserve">Tot slot </w:t>
      </w:r>
    </w:p>
    <w:p w:rsidR="00773D67" w:rsidRDefault="00773D67" w14:paraId="761DBCF6" w14:textId="77777777"/>
    <w:p w:rsidR="008175D7" w:rsidP="00AB2C5D" w:rsidRDefault="000971E2" w14:paraId="77EAEE9C" w14:textId="5A861832">
      <w:r>
        <w:t xml:space="preserve">Hiervoor </w:t>
      </w:r>
      <w:r w:rsidR="00773D67">
        <w:t xml:space="preserve">heb ik </w:t>
      </w:r>
      <w:r>
        <w:t xml:space="preserve">beschreven </w:t>
      </w:r>
      <w:r w:rsidR="00773D67">
        <w:t xml:space="preserve">op welke manieren ik uitvoering wil geven aan de aanbevelingen in het onderzoeksrapport van AEF. Samen met veldpartijen </w:t>
      </w:r>
      <w:r w:rsidR="009A4AA0">
        <w:t xml:space="preserve">ga ik </w:t>
      </w:r>
      <w:r w:rsidR="00773D67">
        <w:t xml:space="preserve">aan de slag om </w:t>
      </w:r>
      <w:r w:rsidR="008974BF">
        <w:t xml:space="preserve">de </w:t>
      </w:r>
      <w:r>
        <w:t xml:space="preserve">beschreven </w:t>
      </w:r>
      <w:r w:rsidR="008974BF">
        <w:t xml:space="preserve">acties </w:t>
      </w:r>
      <w:r w:rsidR="00773D67">
        <w:t xml:space="preserve">op te pakken. </w:t>
      </w:r>
      <w:r w:rsidR="00AB2C5D">
        <w:t>Zoals</w:t>
      </w:r>
      <w:r w:rsidR="00B501D8">
        <w:t xml:space="preserve"> gezegd volgt vier jaar na de wetswijziging een volgende evaluatie waarin</w:t>
      </w:r>
      <w:r w:rsidRPr="00B501D8" w:rsidR="00B501D8">
        <w:t xml:space="preserve"> </w:t>
      </w:r>
      <w:r w:rsidR="00B501D8">
        <w:t>gekeken word</w:t>
      </w:r>
      <w:r w:rsidR="002C2CB1">
        <w:t>t</w:t>
      </w:r>
      <w:r w:rsidR="00B501D8">
        <w:t xml:space="preserve"> naar de doeltreffendheid van deze</w:t>
      </w:r>
      <w:r w:rsidR="008F6C23">
        <w:t xml:space="preserve"> wetswijziging</w:t>
      </w:r>
      <w:r w:rsidR="00B501D8">
        <w:t>.</w:t>
      </w:r>
      <w:r w:rsidR="00AB2C5D">
        <w:t xml:space="preserve"> </w:t>
      </w:r>
      <w:r w:rsidRPr="003E00C1" w:rsidR="00AB2C5D">
        <w:t xml:space="preserve">Om de benodigde data voor deze evaluatie op tijd beschikbaar te hebben </w:t>
      </w:r>
      <w:r w:rsidRPr="003E00C1" w:rsidR="008974BF">
        <w:t xml:space="preserve">is het van groot belang dat de </w:t>
      </w:r>
      <w:r w:rsidRPr="003E00C1" w:rsidR="00660EBD">
        <w:t xml:space="preserve">huidige </w:t>
      </w:r>
      <w:r w:rsidRPr="003E00C1" w:rsidR="008974BF">
        <w:t xml:space="preserve">planning </w:t>
      </w:r>
      <w:r>
        <w:t>voor</w:t>
      </w:r>
      <w:r w:rsidRPr="003E00C1">
        <w:t xml:space="preserve"> </w:t>
      </w:r>
      <w:r w:rsidRPr="003E00C1" w:rsidR="008974BF">
        <w:t xml:space="preserve">de landelijke basisdataset </w:t>
      </w:r>
      <w:r w:rsidRPr="003E00C1" w:rsidR="008430F4">
        <w:t xml:space="preserve">voor het volwassenendossier </w:t>
      </w:r>
      <w:r w:rsidRPr="003E00C1" w:rsidR="008974BF">
        <w:t>wordt gehaald,</w:t>
      </w:r>
      <w:r>
        <w:t xml:space="preserve"> zodat</w:t>
      </w:r>
      <w:r w:rsidRPr="003E00C1" w:rsidR="008974BF">
        <w:t xml:space="preserve"> </w:t>
      </w:r>
      <w:r w:rsidRPr="009F6F01">
        <w:t>alle JGZ</w:t>
      </w:r>
      <w:r>
        <w:t>-uitvoerings</w:t>
      </w:r>
      <w:r w:rsidRPr="009F6F01">
        <w:t xml:space="preserve">organisaties in </w:t>
      </w:r>
      <w:r w:rsidRPr="003E00C1">
        <w:t xml:space="preserve">ieder geval vanaf </w:t>
      </w:r>
      <w:r w:rsidRPr="009F6F01">
        <w:t xml:space="preserve">de </w:t>
      </w:r>
      <w:r w:rsidRPr="003E00C1">
        <w:t>tweede</w:t>
      </w:r>
      <w:r w:rsidRPr="009F6F01">
        <w:t xml:space="preserve"> helft van 2025 kunnen registreren met </w:t>
      </w:r>
      <w:r w:rsidRPr="003E00C1">
        <w:t xml:space="preserve">de </w:t>
      </w:r>
      <w:r w:rsidRPr="009F6F01">
        <w:t>landelijke basisdataset</w:t>
      </w:r>
      <w:r>
        <w:t xml:space="preserve"> </w:t>
      </w:r>
      <w:r w:rsidRPr="003E00C1" w:rsidR="00660EBD">
        <w:t>en deze gegevens gebruikt kunn</w:t>
      </w:r>
      <w:r w:rsidRPr="003E00C1" w:rsidR="008974BF">
        <w:t xml:space="preserve">en worden voor de evaluatie </w:t>
      </w:r>
      <w:r w:rsidR="00AB3868">
        <w:t>eind</w:t>
      </w:r>
      <w:r w:rsidRPr="003E00C1" w:rsidR="008974BF">
        <w:t xml:space="preserve"> 2026</w:t>
      </w:r>
      <w:r w:rsidRPr="003E00C1" w:rsidR="00AB2C5D">
        <w:t>.</w:t>
      </w:r>
      <w:r w:rsidR="008974BF">
        <w:t xml:space="preserve"> </w:t>
      </w:r>
    </w:p>
    <w:p w:rsidR="00773D67" w:rsidRDefault="00773D67" w14:paraId="64DCBC67" w14:textId="77777777"/>
    <w:p w:rsidR="005225E2" w:rsidRDefault="005225E2" w14:paraId="7B910D1D" w14:textId="36791412">
      <w:bookmarkStart w:name="_Hlk164842976" w:id="5"/>
      <w:r>
        <w:t>Ik vertrouw erop dat we met de acties de uitvoering van het PHB JGZ versterken.</w:t>
      </w:r>
      <w:r w:rsidR="00B60CEC">
        <w:t xml:space="preserve"> Zodat</w:t>
      </w:r>
      <w:r w:rsidR="00C02E8C">
        <w:t xml:space="preserve"> we nog beter</w:t>
      </w:r>
      <w:r w:rsidR="00B60CEC">
        <w:t xml:space="preserve"> (en ik citeer mevrouw Paulusma tijdens de wetsbehandeling) aansluiting kunnen zoeken bij de wereld van de ander, over de drempel stappen, elkaar vertrouwen en elkaar ruimte geven. </w:t>
      </w:r>
    </w:p>
    <w:bookmarkEnd w:id="5"/>
    <w:p w:rsidR="005225E2" w:rsidRDefault="005225E2" w14:paraId="50F41D90" w14:textId="77777777"/>
    <w:p w:rsidR="005225E2" w:rsidRDefault="005225E2" w14:paraId="37641084" w14:textId="77777777">
      <w:r>
        <w:t xml:space="preserve">Hoogachtend, </w:t>
      </w:r>
    </w:p>
    <w:p w:rsidR="005225E2" w:rsidRDefault="005225E2" w14:paraId="1B80138F" w14:textId="77777777"/>
    <w:p w:rsidR="005225E2" w:rsidRDefault="005225E2" w14:paraId="00A7948A" w14:textId="77777777">
      <w:r>
        <w:t xml:space="preserve">de staatssecretaris van Volksgezondheid, </w:t>
      </w:r>
    </w:p>
    <w:p w:rsidR="005225E2" w:rsidRDefault="005225E2" w14:paraId="12E91EB1" w14:textId="77777777">
      <w:r>
        <w:t>Welzijn en Sport,</w:t>
      </w:r>
    </w:p>
    <w:p w:rsidR="005225E2" w:rsidRDefault="005225E2" w14:paraId="2378EB29" w14:textId="77777777"/>
    <w:p w:rsidR="005225E2" w:rsidRDefault="005225E2" w14:paraId="3694AE15" w14:textId="77777777"/>
    <w:p w:rsidR="005225E2" w:rsidRDefault="005225E2" w14:paraId="406594FE" w14:textId="77777777"/>
    <w:p w:rsidR="005225E2" w:rsidRDefault="005225E2" w14:paraId="591BF97C" w14:textId="79E87E4F"/>
    <w:p w:rsidR="00D21A9F" w:rsidRDefault="00D21A9F" w14:paraId="014ADE84" w14:textId="77777777"/>
    <w:p w:rsidR="00D21A9F" w:rsidRDefault="00D21A9F" w14:paraId="312B498B" w14:textId="77777777"/>
    <w:p w:rsidR="00575CDA" w:rsidP="00D21A9F" w:rsidRDefault="005225E2" w14:paraId="0E8B885B" w14:textId="64B131DF">
      <w:r>
        <w:t>Maarten van Ooijen</w:t>
      </w:r>
    </w:p>
    <w:sectPr w:rsidR="00575CD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1317" w14:textId="77777777" w:rsidR="00215FBB" w:rsidRDefault="00215FBB">
      <w:pPr>
        <w:spacing w:line="240" w:lineRule="auto"/>
      </w:pPr>
      <w:r>
        <w:separator/>
      </w:r>
    </w:p>
  </w:endnote>
  <w:endnote w:type="continuationSeparator" w:id="0">
    <w:p w14:paraId="6F6B28AE" w14:textId="77777777" w:rsidR="00215FBB" w:rsidRDefault="00215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D4C3" w14:textId="77777777" w:rsidR="00B94344" w:rsidRDefault="00B943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71C6" w14:textId="77777777" w:rsidR="00B94344" w:rsidRDefault="00B943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2D65" w14:textId="77777777" w:rsidR="00B94344" w:rsidRDefault="00B943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EE2B" w14:textId="77777777" w:rsidR="00215FBB" w:rsidRDefault="00215FBB">
      <w:pPr>
        <w:spacing w:line="240" w:lineRule="auto"/>
      </w:pPr>
      <w:r>
        <w:separator/>
      </w:r>
    </w:p>
  </w:footnote>
  <w:footnote w:type="continuationSeparator" w:id="0">
    <w:p w14:paraId="20F988D9" w14:textId="77777777" w:rsidR="00215FBB" w:rsidRDefault="00215FBB">
      <w:pPr>
        <w:spacing w:line="240" w:lineRule="auto"/>
      </w:pPr>
      <w:r>
        <w:continuationSeparator/>
      </w:r>
    </w:p>
  </w:footnote>
  <w:footnote w:id="1">
    <w:p w14:paraId="604808A8" w14:textId="43D5ADD5" w:rsidR="00B1267C" w:rsidRPr="00DF6E0C" w:rsidRDefault="00B1267C">
      <w:pPr>
        <w:pStyle w:val="Voetnoottekst"/>
        <w:rPr>
          <w:sz w:val="13"/>
          <w:szCs w:val="13"/>
        </w:rPr>
      </w:pPr>
      <w:r w:rsidRPr="00DF6E0C">
        <w:rPr>
          <w:rStyle w:val="Voetnootmarkering"/>
          <w:sz w:val="13"/>
          <w:szCs w:val="13"/>
        </w:rPr>
        <w:footnoteRef/>
      </w:r>
      <w:r w:rsidRPr="00DF6E0C">
        <w:rPr>
          <w:sz w:val="13"/>
          <w:szCs w:val="13"/>
        </w:rPr>
        <w:t xml:space="preserve"> Zie </w:t>
      </w:r>
      <w:r w:rsidRPr="00DF6E0C">
        <w:rPr>
          <w:rStyle w:val="cf01"/>
          <w:rFonts w:ascii="Verdana" w:hAnsi="Verdana"/>
          <w:sz w:val="13"/>
          <w:szCs w:val="13"/>
        </w:rPr>
        <w:t>Art. 2, tweede lid, sub i</w:t>
      </w:r>
      <w:r w:rsidR="004C52B9" w:rsidRPr="00DF6E0C">
        <w:rPr>
          <w:rStyle w:val="cf01"/>
          <w:rFonts w:ascii="Verdana" w:hAnsi="Verdana"/>
          <w:sz w:val="13"/>
          <w:szCs w:val="13"/>
        </w:rPr>
        <w:t>,</w:t>
      </w:r>
      <w:r w:rsidRPr="00DF6E0C">
        <w:rPr>
          <w:rStyle w:val="cf01"/>
          <w:rFonts w:ascii="Verdana" w:hAnsi="Verdana"/>
          <w:sz w:val="13"/>
          <w:szCs w:val="13"/>
        </w:rPr>
        <w:t xml:space="preserve"> Wet publieke gezondheid.</w:t>
      </w:r>
    </w:p>
  </w:footnote>
  <w:footnote w:id="2">
    <w:p w14:paraId="3CEF05A2" w14:textId="5CEF9EE5" w:rsidR="005769D0" w:rsidRPr="00DF6E0C" w:rsidRDefault="005769D0">
      <w:pPr>
        <w:pStyle w:val="Voetnoottekst"/>
        <w:rPr>
          <w:sz w:val="13"/>
          <w:szCs w:val="13"/>
        </w:rPr>
      </w:pPr>
      <w:r w:rsidRPr="00DF6E0C">
        <w:rPr>
          <w:rStyle w:val="Voetnootmarkering"/>
          <w:sz w:val="13"/>
          <w:szCs w:val="13"/>
        </w:rPr>
        <w:footnoteRef/>
      </w:r>
      <w:r w:rsidRPr="00DF6E0C">
        <w:rPr>
          <w:sz w:val="13"/>
          <w:szCs w:val="13"/>
        </w:rPr>
        <w:t xml:space="preserve"> </w:t>
      </w:r>
      <w:r w:rsidR="005A54E5">
        <w:rPr>
          <w:sz w:val="13"/>
          <w:szCs w:val="13"/>
        </w:rPr>
        <w:t>Kamerstukken II</w:t>
      </w:r>
      <w:r w:rsidRPr="00DF6E0C">
        <w:rPr>
          <w:sz w:val="13"/>
          <w:szCs w:val="13"/>
        </w:rPr>
        <w:t xml:space="preserve"> 2020–2021, 35 593, nr. 14.</w:t>
      </w:r>
    </w:p>
  </w:footnote>
  <w:footnote w:id="3">
    <w:p w14:paraId="605892A0" w14:textId="04ECBFA5" w:rsidR="009F5031" w:rsidRDefault="009F5031">
      <w:pPr>
        <w:pStyle w:val="Voetnoottekst"/>
      </w:pPr>
      <w:r>
        <w:rPr>
          <w:rStyle w:val="Voetnootmarkering"/>
        </w:rPr>
        <w:footnoteRef/>
      </w:r>
      <w:r>
        <w:t xml:space="preserve"> </w:t>
      </w:r>
      <w:r w:rsidRPr="009F5031">
        <w:rPr>
          <w:sz w:val="16"/>
          <w:szCs w:val="16"/>
        </w:rPr>
        <w:t xml:space="preserve">Denk hierbij onder andere aan stress bij de ouders door bijvoorbeeld armoede, psychische problematiek van de ouders, huisvestingproblematiek of verslavingsproblematiek zoals roken en </w:t>
      </w:r>
      <w:r w:rsidRPr="009F5031">
        <w:rPr>
          <w:rFonts w:eastAsiaTheme="minorHAnsi" w:cstheme="minorBidi"/>
          <w:color w:val="auto"/>
          <w:kern w:val="2"/>
          <w:sz w:val="16"/>
          <w:szCs w:val="16"/>
          <w:lang w:eastAsia="en-US"/>
          <w14:ligatures w14:val="standardContextual"/>
        </w:rPr>
        <w:t>alcoholgebruik.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43AF" w14:textId="77777777" w:rsidR="00B94344" w:rsidRDefault="00B943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32FD" w14:textId="77777777" w:rsidR="00575CDA" w:rsidRDefault="00C37B39">
    <w:pPr>
      <w:pStyle w:val="MarginlessContainer"/>
    </w:pPr>
    <w:r>
      <w:rPr>
        <w:noProof/>
      </w:rPr>
      <mc:AlternateContent>
        <mc:Choice Requires="wps">
          <w:drawing>
            <wp:anchor distT="0" distB="0" distL="0" distR="0" simplePos="0" relativeHeight="251653120" behindDoc="0" locked="1" layoutInCell="1" allowOverlap="1" wp14:anchorId="222FB25B" wp14:editId="1ADA1478">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991535C" w14:textId="0030D3EB" w:rsidR="00DF6E0C" w:rsidRDefault="00DF6E0C" w:rsidP="009539AB">
                          <w:pPr>
                            <w:pStyle w:val="StandaardReferentiegegevenskop"/>
                            <w:rPr>
                              <w:lang w:val="de-DE"/>
                            </w:rPr>
                          </w:pPr>
                          <w:proofErr w:type="spellStart"/>
                          <w:r w:rsidRPr="00A77530">
                            <w:rPr>
                              <w:lang w:val="de-DE"/>
                            </w:rPr>
                            <w:t>Kenmerk</w:t>
                          </w:r>
                          <w:proofErr w:type="spellEnd"/>
                        </w:p>
                        <w:p w14:paraId="3737D1E8" w14:textId="77777777" w:rsidR="00DF6E0C" w:rsidRPr="002E63D2" w:rsidRDefault="00DF6E0C" w:rsidP="00DF6E0C">
                          <w:pPr>
                            <w:rPr>
                              <w:sz w:val="13"/>
                              <w:szCs w:val="13"/>
                              <w:lang w:val="de-DE"/>
                            </w:rPr>
                          </w:pPr>
                          <w:r w:rsidRPr="002E63D2">
                            <w:rPr>
                              <w:sz w:val="13"/>
                              <w:szCs w:val="13"/>
                              <w:lang w:val="de-DE"/>
                            </w:rPr>
                            <w:t>3843332-1067165-PG</w:t>
                          </w:r>
                        </w:p>
                        <w:p w14:paraId="003C059B" w14:textId="101168F7" w:rsidR="00575CDA" w:rsidRDefault="00575CDA">
                          <w:pPr>
                            <w:pStyle w:val="StandaardAfzendgegevens"/>
                          </w:pPr>
                        </w:p>
                      </w:txbxContent>
                    </wps:txbx>
                    <wps:bodyPr vert="horz" wrap="square" lIns="0" tIns="0" rIns="0" bIns="0" anchor="t" anchorCtr="0"/>
                  </wps:wsp>
                </a:graphicData>
              </a:graphic>
            </wp:anchor>
          </w:drawing>
        </mc:Choice>
        <mc:Fallback>
          <w:pict>
            <v:shapetype w14:anchorId="222FB25B"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5991535C" w14:textId="0030D3EB" w:rsidR="00DF6E0C" w:rsidRDefault="00DF6E0C" w:rsidP="009539AB">
                    <w:pPr>
                      <w:pStyle w:val="StandaardReferentiegegevenskop"/>
                      <w:rPr>
                        <w:lang w:val="de-DE"/>
                      </w:rPr>
                    </w:pPr>
                    <w:proofErr w:type="spellStart"/>
                    <w:r w:rsidRPr="00A77530">
                      <w:rPr>
                        <w:lang w:val="de-DE"/>
                      </w:rPr>
                      <w:t>Kenmerk</w:t>
                    </w:r>
                    <w:proofErr w:type="spellEnd"/>
                  </w:p>
                  <w:p w14:paraId="3737D1E8" w14:textId="77777777" w:rsidR="00DF6E0C" w:rsidRPr="002E63D2" w:rsidRDefault="00DF6E0C" w:rsidP="00DF6E0C">
                    <w:pPr>
                      <w:rPr>
                        <w:sz w:val="13"/>
                        <w:szCs w:val="13"/>
                        <w:lang w:val="de-DE"/>
                      </w:rPr>
                    </w:pPr>
                    <w:r w:rsidRPr="002E63D2">
                      <w:rPr>
                        <w:sz w:val="13"/>
                        <w:szCs w:val="13"/>
                        <w:lang w:val="de-DE"/>
                      </w:rPr>
                      <w:t>3843332-1067165-PG</w:t>
                    </w:r>
                  </w:p>
                  <w:p w14:paraId="003C059B" w14:textId="101168F7" w:rsidR="00575CDA" w:rsidRDefault="00575CDA">
                    <w:pPr>
                      <w:pStyle w:val="StandaardAfzend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4FF70B" wp14:editId="05C5245C">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8284053" w14:textId="2A022D59" w:rsidR="00575CDA" w:rsidRDefault="00C37B39">
                          <w:pPr>
                            <w:pStyle w:val="StandaardReferentiegegevens"/>
                          </w:pPr>
                          <w:r>
                            <w:t xml:space="preserve">Pagina </w:t>
                          </w:r>
                          <w:r>
                            <w:fldChar w:fldCharType="begin"/>
                          </w:r>
                          <w:r>
                            <w:instrText>PAGE</w:instrText>
                          </w:r>
                          <w:r>
                            <w:fldChar w:fldCharType="separate"/>
                          </w:r>
                          <w:r w:rsidR="00A77530">
                            <w:rPr>
                              <w:noProof/>
                            </w:rPr>
                            <w:t>2</w:t>
                          </w:r>
                          <w:r>
                            <w:fldChar w:fldCharType="end"/>
                          </w:r>
                          <w:r>
                            <w:t xml:space="preserve"> van </w:t>
                          </w:r>
                          <w:r>
                            <w:fldChar w:fldCharType="begin"/>
                          </w:r>
                          <w:r>
                            <w:instrText>NUMPAGES</w:instrText>
                          </w:r>
                          <w:r>
                            <w:fldChar w:fldCharType="separate"/>
                          </w:r>
                          <w:r w:rsidR="00A77530">
                            <w:rPr>
                              <w:noProof/>
                            </w:rPr>
                            <w:t>1</w:t>
                          </w:r>
                          <w:r>
                            <w:fldChar w:fldCharType="end"/>
                          </w:r>
                        </w:p>
                      </w:txbxContent>
                    </wps:txbx>
                    <wps:bodyPr vert="horz" wrap="square" lIns="0" tIns="0" rIns="0" bIns="0" anchor="t" anchorCtr="0"/>
                  </wps:wsp>
                </a:graphicData>
              </a:graphic>
            </wp:anchor>
          </w:drawing>
        </mc:Choice>
        <mc:Fallback>
          <w:pict>
            <v:shape w14:anchorId="3B4FF70B"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08284053" w14:textId="2A022D59" w:rsidR="00575CDA" w:rsidRDefault="00C37B39">
                    <w:pPr>
                      <w:pStyle w:val="StandaardReferentiegegevens"/>
                    </w:pPr>
                    <w:r>
                      <w:t xml:space="preserve">Pagina </w:t>
                    </w:r>
                    <w:r>
                      <w:fldChar w:fldCharType="begin"/>
                    </w:r>
                    <w:r>
                      <w:instrText>PAGE</w:instrText>
                    </w:r>
                    <w:r>
                      <w:fldChar w:fldCharType="separate"/>
                    </w:r>
                    <w:r w:rsidR="00A77530">
                      <w:rPr>
                        <w:noProof/>
                      </w:rPr>
                      <w:t>2</w:t>
                    </w:r>
                    <w:r>
                      <w:fldChar w:fldCharType="end"/>
                    </w:r>
                    <w:r>
                      <w:t xml:space="preserve"> van </w:t>
                    </w:r>
                    <w:r>
                      <w:fldChar w:fldCharType="begin"/>
                    </w:r>
                    <w:r>
                      <w:instrText>NUMPAGES</w:instrText>
                    </w:r>
                    <w:r>
                      <w:fldChar w:fldCharType="separate"/>
                    </w:r>
                    <w:r w:rsidR="00A7753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EEE9" w14:textId="77777777" w:rsidR="00575CDA" w:rsidRDefault="00C37B39">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7109C35" wp14:editId="5345A5B3">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C0D5FCF" w14:textId="77777777" w:rsidR="00D03CF3" w:rsidRDefault="00D03CF3"/>
                      </w:txbxContent>
                    </wps:txbx>
                    <wps:bodyPr vert="horz" wrap="square" lIns="0" tIns="0" rIns="0" bIns="0" anchor="t" anchorCtr="0"/>
                  </wps:wsp>
                </a:graphicData>
              </a:graphic>
            </wp:anchor>
          </w:drawing>
        </mc:Choice>
        <mc:Fallback>
          <w:pict>
            <v:shapetype w14:anchorId="77109C35"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0C0D5FCF" w14:textId="77777777" w:rsidR="00D03CF3" w:rsidRDefault="00D03CF3"/>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1F29507" wp14:editId="424BEE95">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04D7AC8" w14:textId="77777777" w:rsidR="00575CDA" w:rsidRDefault="00C37B39">
                          <w:pPr>
                            <w:pStyle w:val="MarginlessContainer"/>
                          </w:pPr>
                          <w:r>
                            <w:rPr>
                              <w:noProof/>
                            </w:rPr>
                            <w:drawing>
                              <wp:inline distT="0" distB="0" distL="0" distR="0" wp14:anchorId="1D91D54F" wp14:editId="7EB10339">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F29507"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304D7AC8" w14:textId="77777777" w:rsidR="00575CDA" w:rsidRDefault="00C37B39">
                    <w:pPr>
                      <w:pStyle w:val="MarginlessContainer"/>
                    </w:pPr>
                    <w:r>
                      <w:rPr>
                        <w:noProof/>
                      </w:rPr>
                      <w:drawing>
                        <wp:inline distT="0" distB="0" distL="0" distR="0" wp14:anchorId="1D91D54F" wp14:editId="7EB10339">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0C9714" wp14:editId="5C0CC902">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AEEEBBC" w14:textId="77777777" w:rsidR="00D03CF3" w:rsidRDefault="00D03CF3"/>
                      </w:txbxContent>
                    </wps:txbx>
                    <wps:bodyPr vert="horz" wrap="square" lIns="0" tIns="0" rIns="0" bIns="0" anchor="t" anchorCtr="0"/>
                  </wps:wsp>
                </a:graphicData>
              </a:graphic>
            </wp:anchor>
          </w:drawing>
        </mc:Choice>
        <mc:Fallback>
          <w:pict>
            <v:shape w14:anchorId="760C9714"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7AEEEBBC" w14:textId="77777777" w:rsidR="00D03CF3" w:rsidRDefault="00D03CF3"/>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883D8C" wp14:editId="12AE0C50">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D4A3B19" w14:textId="0C5653A1" w:rsidR="00DF6163" w:rsidRDefault="00DF6163" w:rsidP="00DF6163">
                          <w:r>
                            <w:t>De Voorzitter van de Tweede Kamer</w:t>
                          </w:r>
                          <w:r>
                            <w:br/>
                            <w:t>der Staten-Generaal</w:t>
                          </w:r>
                          <w:r>
                            <w:br/>
                            <w:t>Postbus 20018</w:t>
                          </w:r>
                          <w:r>
                            <w:br/>
                            <w:t>2500 EA DEN HAAG</w:t>
                          </w:r>
                        </w:p>
                        <w:p w14:paraId="553F2D66" w14:textId="03CA0394" w:rsidR="00575CDA" w:rsidRDefault="00575CDA"/>
                      </w:txbxContent>
                    </wps:txbx>
                    <wps:bodyPr vert="horz" wrap="square" lIns="0" tIns="0" rIns="0" bIns="0" anchor="t" anchorCtr="0"/>
                  </wps:wsp>
                </a:graphicData>
              </a:graphic>
            </wp:anchor>
          </w:drawing>
        </mc:Choice>
        <mc:Fallback>
          <w:pict>
            <v:shape w14:anchorId="71883D8C"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5D4A3B19" w14:textId="0C5653A1" w:rsidR="00DF6163" w:rsidRDefault="00DF6163" w:rsidP="00DF6163">
                    <w:r>
                      <w:t>De Voorzitter van de Tweede Kamer</w:t>
                    </w:r>
                    <w:r>
                      <w:br/>
                      <w:t>der Staten-Generaal</w:t>
                    </w:r>
                    <w:r>
                      <w:br/>
                      <w:t>Postbus 20018</w:t>
                    </w:r>
                    <w:r>
                      <w:br/>
                      <w:t>2500 EA DEN HAAG</w:t>
                    </w:r>
                  </w:p>
                  <w:p w14:paraId="553F2D66" w14:textId="03CA0394" w:rsidR="00575CDA" w:rsidRDefault="00575CDA"/>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1B14A2" wp14:editId="77E294E5">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7AE9DC" w14:textId="77777777" w:rsidR="00575CDA" w:rsidRDefault="00575CDA">
                          <w:pPr>
                            <w:pStyle w:val="WitregelW1"/>
                          </w:pPr>
                        </w:p>
                        <w:p w14:paraId="176A66A7" w14:textId="77777777" w:rsidR="00575CDA" w:rsidRDefault="00C37B39" w:rsidP="009539AB">
                          <w:pPr>
                            <w:pStyle w:val="StandaardAfzendgegevenskop"/>
                            <w:spacing w:line="240" w:lineRule="auto"/>
                          </w:pPr>
                          <w:r>
                            <w:t>Bezoekadres:</w:t>
                          </w:r>
                        </w:p>
                        <w:p w14:paraId="67F0E451" w14:textId="77777777" w:rsidR="00575CDA" w:rsidRDefault="00C37B39" w:rsidP="009539AB">
                          <w:pPr>
                            <w:pStyle w:val="StandaardAfzendgegevens"/>
                            <w:spacing w:line="240" w:lineRule="auto"/>
                          </w:pPr>
                          <w:r>
                            <w:t>Parnassusplein 5</w:t>
                          </w:r>
                        </w:p>
                        <w:p w14:paraId="1F73D47D" w14:textId="77777777" w:rsidR="00575CDA" w:rsidRDefault="00C37B39" w:rsidP="009539AB">
                          <w:pPr>
                            <w:pStyle w:val="StandaardAfzendgegevens"/>
                            <w:spacing w:line="240" w:lineRule="auto"/>
                          </w:pPr>
                          <w:r>
                            <w:t>2511 VX  Den Haag</w:t>
                          </w:r>
                        </w:p>
                        <w:p w14:paraId="39AB89D1" w14:textId="77777777" w:rsidR="00575CDA" w:rsidRDefault="00C37B39" w:rsidP="009539AB">
                          <w:pPr>
                            <w:pStyle w:val="StandaardAfzendgegevens"/>
                            <w:spacing w:line="240" w:lineRule="auto"/>
                          </w:pPr>
                          <w:r>
                            <w:t>T  070 340 79 11</w:t>
                          </w:r>
                        </w:p>
                        <w:p w14:paraId="04D2D891" w14:textId="77777777" w:rsidR="00575CDA" w:rsidRDefault="00C37B39">
                          <w:pPr>
                            <w:pStyle w:val="StandaardAfzendgegevens"/>
                          </w:pPr>
                          <w:r>
                            <w:t xml:space="preserve">  </w:t>
                          </w:r>
                        </w:p>
                        <w:p w14:paraId="27CAEAA6" w14:textId="77777777" w:rsidR="00575CDA" w:rsidRDefault="00C37B39">
                          <w:pPr>
                            <w:pStyle w:val="StandaardAfzendgegevens"/>
                          </w:pPr>
                          <w:r>
                            <w:t>www.rijksoverheid.nl</w:t>
                          </w:r>
                        </w:p>
                        <w:p w14:paraId="1C77AE08" w14:textId="77777777" w:rsidR="00575CDA" w:rsidRPr="009539AB" w:rsidRDefault="00575CDA">
                          <w:pPr>
                            <w:pStyle w:val="WitregelW2"/>
                          </w:pPr>
                        </w:p>
                        <w:p w14:paraId="365C19E9" w14:textId="77777777" w:rsidR="00575CDA" w:rsidRPr="009539AB" w:rsidRDefault="00C37B39" w:rsidP="009539AB">
                          <w:pPr>
                            <w:pStyle w:val="StandaardAfzendgegevenskop"/>
                            <w:spacing w:line="240" w:lineRule="auto"/>
                          </w:pPr>
                          <w:r w:rsidRPr="009539AB">
                            <w:t>Kenmerk</w:t>
                          </w:r>
                        </w:p>
                        <w:p w14:paraId="7C493B22" w14:textId="57B7B3B4" w:rsidR="00DF6163" w:rsidRPr="009539AB" w:rsidRDefault="00DF6163" w:rsidP="009539AB">
                          <w:pPr>
                            <w:pStyle w:val="StandaardAfzendgegevenskop"/>
                            <w:spacing w:line="240" w:lineRule="auto"/>
                            <w:rPr>
                              <w:b w:val="0"/>
                              <w:bCs/>
                            </w:rPr>
                          </w:pPr>
                          <w:r w:rsidRPr="009539AB">
                            <w:rPr>
                              <w:b w:val="0"/>
                              <w:bCs/>
                            </w:rPr>
                            <w:t>3843332-1067165-PG</w:t>
                          </w:r>
                        </w:p>
                        <w:p w14:paraId="1A60A821" w14:textId="77777777" w:rsidR="00DF6163" w:rsidRPr="009539AB" w:rsidRDefault="00DF6163" w:rsidP="009539AB">
                          <w:pPr>
                            <w:pStyle w:val="StandaardAfzendgegevenskop"/>
                          </w:pPr>
                        </w:p>
                        <w:p w14:paraId="71DB1DC4" w14:textId="77777777" w:rsidR="00DF6163" w:rsidRDefault="00DF6163" w:rsidP="009539AB">
                          <w:pPr>
                            <w:pStyle w:val="StandaardAfzendgegevenskop"/>
                          </w:pPr>
                        </w:p>
                        <w:p w14:paraId="062006EE" w14:textId="10D179E7" w:rsidR="00DF6163" w:rsidRPr="009539AB" w:rsidRDefault="00DF6163" w:rsidP="009539AB">
                          <w:pPr>
                            <w:pStyle w:val="StandaardAfzendgegevenskop"/>
                          </w:pPr>
                          <w:r w:rsidRPr="009539AB">
                            <w:t>Bijlage(n)</w:t>
                          </w:r>
                        </w:p>
                        <w:p w14:paraId="50B5328B" w14:textId="1F2F38D8" w:rsidR="00DF6163" w:rsidRPr="009539AB" w:rsidRDefault="00DF6163" w:rsidP="009539AB">
                          <w:pPr>
                            <w:pStyle w:val="StandaardAfzendgegevenskop"/>
                            <w:rPr>
                              <w:b w:val="0"/>
                              <w:bCs/>
                            </w:rPr>
                          </w:pPr>
                          <w:r w:rsidRPr="009539AB">
                            <w:rPr>
                              <w:b w:val="0"/>
                              <w:bCs/>
                            </w:rPr>
                            <w:t>Eindrapport Implementatieonderzoek Prenatale huisbezoeken Jeugdgezondheidszorg</w:t>
                          </w:r>
                        </w:p>
                        <w:p w14:paraId="169FA6F6" w14:textId="77777777" w:rsidR="00DF6163" w:rsidRDefault="00DF6163">
                          <w:pPr>
                            <w:pStyle w:val="StandaardColofonItalic45v"/>
                          </w:pPr>
                        </w:p>
                        <w:p w14:paraId="70406DDE" w14:textId="77777777" w:rsidR="00DF6163" w:rsidRDefault="00DF6163">
                          <w:pPr>
                            <w:pStyle w:val="StandaardColofonItalic45v"/>
                          </w:pPr>
                        </w:p>
                        <w:p w14:paraId="23772588" w14:textId="4E500E46" w:rsidR="00575CDA" w:rsidRDefault="00C37B39">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3A1B14A2"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57AE9DC" w14:textId="77777777" w:rsidR="00575CDA" w:rsidRDefault="00575CDA">
                    <w:pPr>
                      <w:pStyle w:val="WitregelW1"/>
                    </w:pPr>
                  </w:p>
                  <w:p w14:paraId="176A66A7" w14:textId="77777777" w:rsidR="00575CDA" w:rsidRDefault="00C37B39" w:rsidP="009539AB">
                    <w:pPr>
                      <w:pStyle w:val="StandaardAfzendgegevenskop"/>
                      <w:spacing w:line="240" w:lineRule="auto"/>
                    </w:pPr>
                    <w:r>
                      <w:t>Bezoekadres:</w:t>
                    </w:r>
                  </w:p>
                  <w:p w14:paraId="67F0E451" w14:textId="77777777" w:rsidR="00575CDA" w:rsidRDefault="00C37B39" w:rsidP="009539AB">
                    <w:pPr>
                      <w:pStyle w:val="StandaardAfzendgegevens"/>
                      <w:spacing w:line="240" w:lineRule="auto"/>
                    </w:pPr>
                    <w:r>
                      <w:t>Parnassusplein 5</w:t>
                    </w:r>
                  </w:p>
                  <w:p w14:paraId="1F73D47D" w14:textId="77777777" w:rsidR="00575CDA" w:rsidRDefault="00C37B39" w:rsidP="009539AB">
                    <w:pPr>
                      <w:pStyle w:val="StandaardAfzendgegevens"/>
                      <w:spacing w:line="240" w:lineRule="auto"/>
                    </w:pPr>
                    <w:r>
                      <w:t>2511 VX  Den Haag</w:t>
                    </w:r>
                  </w:p>
                  <w:p w14:paraId="39AB89D1" w14:textId="77777777" w:rsidR="00575CDA" w:rsidRDefault="00C37B39" w:rsidP="009539AB">
                    <w:pPr>
                      <w:pStyle w:val="StandaardAfzendgegevens"/>
                      <w:spacing w:line="240" w:lineRule="auto"/>
                    </w:pPr>
                    <w:r>
                      <w:t>T  070 340 79 11</w:t>
                    </w:r>
                  </w:p>
                  <w:p w14:paraId="04D2D891" w14:textId="77777777" w:rsidR="00575CDA" w:rsidRDefault="00C37B39">
                    <w:pPr>
                      <w:pStyle w:val="StandaardAfzendgegevens"/>
                    </w:pPr>
                    <w:r>
                      <w:t xml:space="preserve">  </w:t>
                    </w:r>
                  </w:p>
                  <w:p w14:paraId="27CAEAA6" w14:textId="77777777" w:rsidR="00575CDA" w:rsidRDefault="00C37B39">
                    <w:pPr>
                      <w:pStyle w:val="StandaardAfzendgegevens"/>
                    </w:pPr>
                    <w:r>
                      <w:t>www.rijksoverheid.nl</w:t>
                    </w:r>
                  </w:p>
                  <w:p w14:paraId="1C77AE08" w14:textId="77777777" w:rsidR="00575CDA" w:rsidRPr="009539AB" w:rsidRDefault="00575CDA">
                    <w:pPr>
                      <w:pStyle w:val="WitregelW2"/>
                    </w:pPr>
                  </w:p>
                  <w:p w14:paraId="365C19E9" w14:textId="77777777" w:rsidR="00575CDA" w:rsidRPr="009539AB" w:rsidRDefault="00C37B39" w:rsidP="009539AB">
                    <w:pPr>
                      <w:pStyle w:val="StandaardAfzendgegevenskop"/>
                      <w:spacing w:line="240" w:lineRule="auto"/>
                    </w:pPr>
                    <w:r w:rsidRPr="009539AB">
                      <w:t>Kenmerk</w:t>
                    </w:r>
                  </w:p>
                  <w:p w14:paraId="7C493B22" w14:textId="57B7B3B4" w:rsidR="00DF6163" w:rsidRPr="009539AB" w:rsidRDefault="00DF6163" w:rsidP="009539AB">
                    <w:pPr>
                      <w:pStyle w:val="StandaardAfzendgegevenskop"/>
                      <w:spacing w:line="240" w:lineRule="auto"/>
                      <w:rPr>
                        <w:b w:val="0"/>
                        <w:bCs/>
                      </w:rPr>
                    </w:pPr>
                    <w:r w:rsidRPr="009539AB">
                      <w:rPr>
                        <w:b w:val="0"/>
                        <w:bCs/>
                      </w:rPr>
                      <w:t>3843332-1067165-PG</w:t>
                    </w:r>
                  </w:p>
                  <w:p w14:paraId="1A60A821" w14:textId="77777777" w:rsidR="00DF6163" w:rsidRPr="009539AB" w:rsidRDefault="00DF6163" w:rsidP="009539AB">
                    <w:pPr>
                      <w:pStyle w:val="StandaardAfzendgegevenskop"/>
                    </w:pPr>
                  </w:p>
                  <w:p w14:paraId="71DB1DC4" w14:textId="77777777" w:rsidR="00DF6163" w:rsidRDefault="00DF6163" w:rsidP="009539AB">
                    <w:pPr>
                      <w:pStyle w:val="StandaardAfzendgegevenskop"/>
                    </w:pPr>
                  </w:p>
                  <w:p w14:paraId="062006EE" w14:textId="10D179E7" w:rsidR="00DF6163" w:rsidRPr="009539AB" w:rsidRDefault="00DF6163" w:rsidP="009539AB">
                    <w:pPr>
                      <w:pStyle w:val="StandaardAfzendgegevenskop"/>
                    </w:pPr>
                    <w:r w:rsidRPr="009539AB">
                      <w:t>Bijlage(n)</w:t>
                    </w:r>
                  </w:p>
                  <w:p w14:paraId="50B5328B" w14:textId="1F2F38D8" w:rsidR="00DF6163" w:rsidRPr="009539AB" w:rsidRDefault="00DF6163" w:rsidP="009539AB">
                    <w:pPr>
                      <w:pStyle w:val="StandaardAfzendgegevenskop"/>
                      <w:rPr>
                        <w:b w:val="0"/>
                        <w:bCs/>
                      </w:rPr>
                    </w:pPr>
                    <w:r w:rsidRPr="009539AB">
                      <w:rPr>
                        <w:b w:val="0"/>
                        <w:bCs/>
                      </w:rPr>
                      <w:t>Eindrapport Implementatieonderzoek Prenatale huisbezoeken Jeugdgezondheidszorg</w:t>
                    </w:r>
                  </w:p>
                  <w:p w14:paraId="169FA6F6" w14:textId="77777777" w:rsidR="00DF6163" w:rsidRDefault="00DF6163">
                    <w:pPr>
                      <w:pStyle w:val="StandaardColofonItalic45v"/>
                    </w:pPr>
                  </w:p>
                  <w:p w14:paraId="70406DDE" w14:textId="77777777" w:rsidR="00DF6163" w:rsidRDefault="00DF6163">
                    <w:pPr>
                      <w:pStyle w:val="StandaardColofonItalic45v"/>
                    </w:pPr>
                  </w:p>
                  <w:p w14:paraId="23772588" w14:textId="4E500E46" w:rsidR="00575CDA" w:rsidRDefault="00C37B39">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FDF36A" wp14:editId="6C9FEAB4">
              <wp:simplePos x="0" y="0"/>
              <wp:positionH relativeFrom="page">
                <wp:posOffset>1005840</wp:posOffset>
              </wp:positionH>
              <wp:positionV relativeFrom="page">
                <wp:posOffset>3634740</wp:posOffset>
              </wp:positionV>
              <wp:extent cx="4105275" cy="80010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8001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75CDA" w14:paraId="749C4F22" w14:textId="77777777">
                            <w:trPr>
                              <w:trHeight w:val="200"/>
                            </w:trPr>
                            <w:tc>
                              <w:tcPr>
                                <w:tcW w:w="1140" w:type="dxa"/>
                              </w:tcPr>
                              <w:p w14:paraId="4B246876" w14:textId="77777777" w:rsidR="00575CDA" w:rsidRDefault="00575CDA"/>
                            </w:tc>
                            <w:tc>
                              <w:tcPr>
                                <w:tcW w:w="5400" w:type="dxa"/>
                              </w:tcPr>
                              <w:p w14:paraId="4EC848C3" w14:textId="77777777" w:rsidR="00575CDA" w:rsidRDefault="00575CDA"/>
                            </w:tc>
                          </w:tr>
                          <w:tr w:rsidR="00575CDA" w14:paraId="34E0B83A" w14:textId="77777777">
                            <w:trPr>
                              <w:trHeight w:val="240"/>
                            </w:trPr>
                            <w:tc>
                              <w:tcPr>
                                <w:tcW w:w="1140" w:type="dxa"/>
                              </w:tcPr>
                              <w:p w14:paraId="2B94B394" w14:textId="77777777" w:rsidR="00575CDA" w:rsidRDefault="00C37B39">
                                <w:r>
                                  <w:t>Datum</w:t>
                                </w:r>
                              </w:p>
                            </w:tc>
                            <w:tc>
                              <w:tcPr>
                                <w:tcW w:w="5400" w:type="dxa"/>
                              </w:tcPr>
                              <w:p w14:paraId="02BA01B9" w14:textId="2C1864A4" w:rsidR="00575CDA" w:rsidRDefault="00B94344">
                                <w:r>
                                  <w:t>17 juni 2024</w:t>
                                </w:r>
                              </w:p>
                            </w:tc>
                          </w:tr>
                          <w:tr w:rsidR="00575CDA" w14:paraId="6E5C5D11" w14:textId="77777777">
                            <w:trPr>
                              <w:trHeight w:val="240"/>
                            </w:trPr>
                            <w:tc>
                              <w:tcPr>
                                <w:tcW w:w="1140" w:type="dxa"/>
                              </w:tcPr>
                              <w:p w14:paraId="2C084E62" w14:textId="77777777" w:rsidR="00575CDA" w:rsidRDefault="00C37B39">
                                <w:r>
                                  <w:t>Betreft</w:t>
                                </w:r>
                              </w:p>
                            </w:tc>
                            <w:tc>
                              <w:tcPr>
                                <w:tcW w:w="5400" w:type="dxa"/>
                              </w:tcPr>
                              <w:p w14:paraId="55B3D0C1" w14:textId="36BF4109" w:rsidR="00575CDA" w:rsidRDefault="00DF6163">
                                <w:r>
                                  <w:t>Eindrapport i</w:t>
                                </w:r>
                                <w:r w:rsidR="00A77530">
                                  <w:t>mplementatieonderzoek Prenatal</w:t>
                                </w:r>
                                <w:r>
                                  <w:t>e</w:t>
                                </w:r>
                                <w:r w:rsidR="00A77530">
                                  <w:t xml:space="preserve"> Huisbezoek</w:t>
                                </w:r>
                                <w:r>
                                  <w:t>en</w:t>
                                </w:r>
                                <w:r w:rsidR="00A77530">
                                  <w:t xml:space="preserve"> Jeugdgezondheidszorg en beleidsreactie</w:t>
                                </w:r>
                              </w:p>
                            </w:tc>
                          </w:tr>
                          <w:tr w:rsidR="00575CDA" w14:paraId="22922C80" w14:textId="77777777">
                            <w:trPr>
                              <w:trHeight w:val="200"/>
                            </w:trPr>
                            <w:tc>
                              <w:tcPr>
                                <w:tcW w:w="1140" w:type="dxa"/>
                              </w:tcPr>
                              <w:p w14:paraId="686B5706" w14:textId="77777777" w:rsidR="00575CDA" w:rsidRDefault="00575CDA"/>
                            </w:tc>
                            <w:tc>
                              <w:tcPr>
                                <w:tcW w:w="5400" w:type="dxa"/>
                              </w:tcPr>
                              <w:p w14:paraId="78F67923" w14:textId="77777777" w:rsidR="00575CDA" w:rsidRDefault="00575CDA"/>
                            </w:tc>
                          </w:tr>
                        </w:tbl>
                        <w:p w14:paraId="5CC1FCD8" w14:textId="77777777" w:rsidR="00D03CF3" w:rsidRDefault="00D03CF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FFDF36A" id="Documentgegevens" o:spid="_x0000_s1033" type="#_x0000_t202" style="position:absolute;margin-left:79.2pt;margin-top:286.2pt;width:323.25pt;height:63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400"/>
                    </w:tblGrid>
                    <w:tr w:rsidR="00575CDA" w14:paraId="749C4F22" w14:textId="77777777">
                      <w:trPr>
                        <w:trHeight w:val="200"/>
                      </w:trPr>
                      <w:tc>
                        <w:tcPr>
                          <w:tcW w:w="1140" w:type="dxa"/>
                        </w:tcPr>
                        <w:p w14:paraId="4B246876" w14:textId="77777777" w:rsidR="00575CDA" w:rsidRDefault="00575CDA"/>
                      </w:tc>
                      <w:tc>
                        <w:tcPr>
                          <w:tcW w:w="5400" w:type="dxa"/>
                        </w:tcPr>
                        <w:p w14:paraId="4EC848C3" w14:textId="77777777" w:rsidR="00575CDA" w:rsidRDefault="00575CDA"/>
                      </w:tc>
                    </w:tr>
                    <w:tr w:rsidR="00575CDA" w14:paraId="34E0B83A" w14:textId="77777777">
                      <w:trPr>
                        <w:trHeight w:val="240"/>
                      </w:trPr>
                      <w:tc>
                        <w:tcPr>
                          <w:tcW w:w="1140" w:type="dxa"/>
                        </w:tcPr>
                        <w:p w14:paraId="2B94B394" w14:textId="77777777" w:rsidR="00575CDA" w:rsidRDefault="00C37B39">
                          <w:r>
                            <w:t>Datum</w:t>
                          </w:r>
                        </w:p>
                      </w:tc>
                      <w:tc>
                        <w:tcPr>
                          <w:tcW w:w="5400" w:type="dxa"/>
                        </w:tcPr>
                        <w:p w14:paraId="02BA01B9" w14:textId="2C1864A4" w:rsidR="00575CDA" w:rsidRDefault="00B94344">
                          <w:r>
                            <w:t>17 juni 2024</w:t>
                          </w:r>
                        </w:p>
                      </w:tc>
                    </w:tr>
                    <w:tr w:rsidR="00575CDA" w14:paraId="6E5C5D11" w14:textId="77777777">
                      <w:trPr>
                        <w:trHeight w:val="240"/>
                      </w:trPr>
                      <w:tc>
                        <w:tcPr>
                          <w:tcW w:w="1140" w:type="dxa"/>
                        </w:tcPr>
                        <w:p w14:paraId="2C084E62" w14:textId="77777777" w:rsidR="00575CDA" w:rsidRDefault="00C37B39">
                          <w:r>
                            <w:t>Betreft</w:t>
                          </w:r>
                        </w:p>
                      </w:tc>
                      <w:tc>
                        <w:tcPr>
                          <w:tcW w:w="5400" w:type="dxa"/>
                        </w:tcPr>
                        <w:p w14:paraId="55B3D0C1" w14:textId="36BF4109" w:rsidR="00575CDA" w:rsidRDefault="00DF6163">
                          <w:r>
                            <w:t>Eindrapport i</w:t>
                          </w:r>
                          <w:r w:rsidR="00A77530">
                            <w:t>mplementatieonderzoek Prenatal</w:t>
                          </w:r>
                          <w:r>
                            <w:t>e</w:t>
                          </w:r>
                          <w:r w:rsidR="00A77530">
                            <w:t xml:space="preserve"> Huisbezoek</w:t>
                          </w:r>
                          <w:r>
                            <w:t>en</w:t>
                          </w:r>
                          <w:r w:rsidR="00A77530">
                            <w:t xml:space="preserve"> Jeugdgezondheidszorg en beleidsreactie</w:t>
                          </w:r>
                        </w:p>
                      </w:tc>
                    </w:tr>
                    <w:tr w:rsidR="00575CDA" w14:paraId="22922C80" w14:textId="77777777">
                      <w:trPr>
                        <w:trHeight w:val="200"/>
                      </w:trPr>
                      <w:tc>
                        <w:tcPr>
                          <w:tcW w:w="1140" w:type="dxa"/>
                        </w:tcPr>
                        <w:p w14:paraId="686B5706" w14:textId="77777777" w:rsidR="00575CDA" w:rsidRDefault="00575CDA"/>
                      </w:tc>
                      <w:tc>
                        <w:tcPr>
                          <w:tcW w:w="5400" w:type="dxa"/>
                        </w:tcPr>
                        <w:p w14:paraId="78F67923" w14:textId="77777777" w:rsidR="00575CDA" w:rsidRDefault="00575CDA"/>
                      </w:tc>
                    </w:tr>
                  </w:tbl>
                  <w:p w14:paraId="5CC1FCD8" w14:textId="77777777" w:rsidR="00D03CF3" w:rsidRDefault="00D03CF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48FED38" wp14:editId="208C22A9">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3C5D31E" w14:textId="77777777" w:rsidR="00D03CF3" w:rsidRDefault="00D03CF3"/>
                      </w:txbxContent>
                    </wps:txbx>
                    <wps:bodyPr vert="horz" wrap="square" lIns="0" tIns="0" rIns="0" bIns="0" anchor="t" anchorCtr="0"/>
                  </wps:wsp>
                </a:graphicData>
              </a:graphic>
            </wp:anchor>
          </w:drawing>
        </mc:Choice>
        <mc:Fallback>
          <w:pict>
            <v:shape w14:anchorId="048FED38"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43C5D31E" w14:textId="77777777" w:rsidR="00D03CF3" w:rsidRDefault="00D03CF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1A7267" wp14:editId="00A3BE6D">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04B9D4" w14:textId="2F77E0C7" w:rsidR="00575CDA" w:rsidRDefault="00C37B39">
                          <w:pPr>
                            <w:pStyle w:val="StandaardReferentiegegevens"/>
                          </w:pPr>
                          <w:r>
                            <w:t xml:space="preserve">Pagina </w:t>
                          </w:r>
                          <w:r>
                            <w:fldChar w:fldCharType="begin"/>
                          </w:r>
                          <w:r>
                            <w:instrText>PAGE</w:instrText>
                          </w:r>
                          <w:r>
                            <w:fldChar w:fldCharType="separate"/>
                          </w:r>
                          <w:r w:rsidR="00A77530">
                            <w:rPr>
                              <w:noProof/>
                            </w:rPr>
                            <w:t>1</w:t>
                          </w:r>
                          <w:r>
                            <w:fldChar w:fldCharType="end"/>
                          </w:r>
                          <w:r>
                            <w:t xml:space="preserve"> van </w:t>
                          </w:r>
                          <w:r>
                            <w:fldChar w:fldCharType="begin"/>
                          </w:r>
                          <w:r>
                            <w:instrText>NUMPAGES</w:instrText>
                          </w:r>
                          <w:r>
                            <w:fldChar w:fldCharType="separate"/>
                          </w:r>
                          <w:r w:rsidR="00A77530">
                            <w:rPr>
                              <w:noProof/>
                            </w:rPr>
                            <w:t>1</w:t>
                          </w:r>
                          <w:r>
                            <w:fldChar w:fldCharType="end"/>
                          </w:r>
                        </w:p>
                      </w:txbxContent>
                    </wps:txbx>
                    <wps:bodyPr vert="horz" wrap="square" lIns="0" tIns="0" rIns="0" bIns="0" anchor="t" anchorCtr="0"/>
                  </wps:wsp>
                </a:graphicData>
              </a:graphic>
            </wp:anchor>
          </w:drawing>
        </mc:Choice>
        <mc:Fallback>
          <w:pict>
            <v:shape w14:anchorId="3B1A7267"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3204B9D4" w14:textId="2F77E0C7" w:rsidR="00575CDA" w:rsidRDefault="00C37B39">
                    <w:pPr>
                      <w:pStyle w:val="StandaardReferentiegegevens"/>
                    </w:pPr>
                    <w:r>
                      <w:t xml:space="preserve">Pagina </w:t>
                    </w:r>
                    <w:r>
                      <w:fldChar w:fldCharType="begin"/>
                    </w:r>
                    <w:r>
                      <w:instrText>PAGE</w:instrText>
                    </w:r>
                    <w:r>
                      <w:fldChar w:fldCharType="separate"/>
                    </w:r>
                    <w:r w:rsidR="00A77530">
                      <w:rPr>
                        <w:noProof/>
                      </w:rPr>
                      <w:t>1</w:t>
                    </w:r>
                    <w:r>
                      <w:fldChar w:fldCharType="end"/>
                    </w:r>
                    <w:r>
                      <w:t xml:space="preserve"> van </w:t>
                    </w:r>
                    <w:r>
                      <w:fldChar w:fldCharType="begin"/>
                    </w:r>
                    <w:r>
                      <w:instrText>NUMPAGES</w:instrText>
                    </w:r>
                    <w:r>
                      <w:fldChar w:fldCharType="separate"/>
                    </w:r>
                    <w:r w:rsidR="00A77530">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316FA5"/>
    <w:multiLevelType w:val="multilevel"/>
    <w:tmpl w:val="D64B8C2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36C79DA"/>
    <w:multiLevelType w:val="multilevel"/>
    <w:tmpl w:val="EDF13950"/>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14D899F"/>
    <w:multiLevelType w:val="multilevel"/>
    <w:tmpl w:val="C1E0268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4824C51"/>
    <w:multiLevelType w:val="multilevel"/>
    <w:tmpl w:val="082D57EF"/>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294E6D"/>
    <w:multiLevelType w:val="multilevel"/>
    <w:tmpl w:val="7403A255"/>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478793"/>
    <w:multiLevelType w:val="multilevel"/>
    <w:tmpl w:val="2A1B6F38"/>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A80D96"/>
    <w:multiLevelType w:val="multilevel"/>
    <w:tmpl w:val="37A7E01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9346F1"/>
    <w:multiLevelType w:val="hybridMultilevel"/>
    <w:tmpl w:val="53D486DC"/>
    <w:lvl w:ilvl="0" w:tplc="E58CAD9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4C30DA"/>
    <w:multiLevelType w:val="hybridMultilevel"/>
    <w:tmpl w:val="CA9AF8C4"/>
    <w:lvl w:ilvl="0" w:tplc="3730B7D8">
      <w:start w:val="1"/>
      <w:numFmt w:val="decimal"/>
      <w:lvlText w:val="%1."/>
      <w:lvlJc w:val="left"/>
      <w:pPr>
        <w:ind w:left="7164" w:hanging="360"/>
      </w:pPr>
    </w:lvl>
    <w:lvl w:ilvl="1" w:tplc="8A86C926">
      <w:start w:val="1"/>
      <w:numFmt w:val="lowerLetter"/>
      <w:lvlText w:val="%2."/>
      <w:lvlJc w:val="left"/>
      <w:pPr>
        <w:ind w:left="1440" w:hanging="360"/>
      </w:pPr>
    </w:lvl>
    <w:lvl w:ilvl="2" w:tplc="357415B6">
      <w:start w:val="1"/>
      <w:numFmt w:val="lowerRoman"/>
      <w:lvlText w:val="%3."/>
      <w:lvlJc w:val="right"/>
      <w:pPr>
        <w:ind w:left="2160" w:hanging="180"/>
      </w:pPr>
    </w:lvl>
    <w:lvl w:ilvl="3" w:tplc="4644FA10">
      <w:start w:val="1"/>
      <w:numFmt w:val="decimal"/>
      <w:lvlText w:val="%4."/>
      <w:lvlJc w:val="left"/>
      <w:pPr>
        <w:ind w:left="2880" w:hanging="360"/>
      </w:pPr>
    </w:lvl>
    <w:lvl w:ilvl="4" w:tplc="BC2ECCE0">
      <w:start w:val="1"/>
      <w:numFmt w:val="lowerLetter"/>
      <w:lvlText w:val="%5."/>
      <w:lvlJc w:val="left"/>
      <w:pPr>
        <w:ind w:left="3600" w:hanging="360"/>
      </w:pPr>
    </w:lvl>
    <w:lvl w:ilvl="5" w:tplc="63A64CD4">
      <w:start w:val="1"/>
      <w:numFmt w:val="lowerRoman"/>
      <w:lvlText w:val="%6."/>
      <w:lvlJc w:val="right"/>
      <w:pPr>
        <w:ind w:left="4320" w:hanging="180"/>
      </w:pPr>
    </w:lvl>
    <w:lvl w:ilvl="6" w:tplc="C7989FF4">
      <w:start w:val="1"/>
      <w:numFmt w:val="decimal"/>
      <w:lvlText w:val="%7."/>
      <w:lvlJc w:val="left"/>
      <w:pPr>
        <w:ind w:left="5040" w:hanging="360"/>
      </w:pPr>
    </w:lvl>
    <w:lvl w:ilvl="7" w:tplc="C0A2811E">
      <w:start w:val="1"/>
      <w:numFmt w:val="lowerLetter"/>
      <w:lvlText w:val="%8."/>
      <w:lvlJc w:val="left"/>
      <w:pPr>
        <w:ind w:left="5760" w:hanging="360"/>
      </w:pPr>
    </w:lvl>
    <w:lvl w:ilvl="8" w:tplc="D41264E2">
      <w:start w:val="1"/>
      <w:numFmt w:val="lowerRoman"/>
      <w:lvlText w:val="%9."/>
      <w:lvlJc w:val="right"/>
      <w:pPr>
        <w:ind w:left="6480" w:hanging="180"/>
      </w:pPr>
    </w:lvl>
  </w:abstractNum>
  <w:abstractNum w:abstractNumId="9" w15:restartNumberingAfterBreak="0">
    <w:nsid w:val="31FF8728"/>
    <w:multiLevelType w:val="multilevel"/>
    <w:tmpl w:val="CF87EAAD"/>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91792"/>
    <w:multiLevelType w:val="multilevel"/>
    <w:tmpl w:val="86B37833"/>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1BEA8"/>
    <w:multiLevelType w:val="multilevel"/>
    <w:tmpl w:val="5EF25D35"/>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28170C"/>
    <w:multiLevelType w:val="multilevel"/>
    <w:tmpl w:val="AEED8050"/>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CD6241"/>
    <w:multiLevelType w:val="multilevel"/>
    <w:tmpl w:val="9DBAEA1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914029"/>
    <w:multiLevelType w:val="multilevel"/>
    <w:tmpl w:val="C345C9B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010984"/>
    <w:multiLevelType w:val="multilevel"/>
    <w:tmpl w:val="798FD03A"/>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8404113">
    <w:abstractNumId w:val="12"/>
  </w:num>
  <w:num w:numId="2" w16cid:durableId="852767687">
    <w:abstractNumId w:val="15"/>
  </w:num>
  <w:num w:numId="3" w16cid:durableId="1783837372">
    <w:abstractNumId w:val="9"/>
  </w:num>
  <w:num w:numId="4" w16cid:durableId="617952069">
    <w:abstractNumId w:val="4"/>
  </w:num>
  <w:num w:numId="5" w16cid:durableId="1511067219">
    <w:abstractNumId w:val="0"/>
  </w:num>
  <w:num w:numId="6" w16cid:durableId="212347121">
    <w:abstractNumId w:val="14"/>
  </w:num>
  <w:num w:numId="7" w16cid:durableId="541672931">
    <w:abstractNumId w:val="10"/>
  </w:num>
  <w:num w:numId="8" w16cid:durableId="1454713184">
    <w:abstractNumId w:val="2"/>
  </w:num>
  <w:num w:numId="9" w16cid:durableId="440879035">
    <w:abstractNumId w:val="11"/>
  </w:num>
  <w:num w:numId="10" w16cid:durableId="1269385204">
    <w:abstractNumId w:val="6"/>
  </w:num>
  <w:num w:numId="11" w16cid:durableId="1676494159">
    <w:abstractNumId w:val="1"/>
  </w:num>
  <w:num w:numId="12" w16cid:durableId="1389114170">
    <w:abstractNumId w:val="5"/>
  </w:num>
  <w:num w:numId="13" w16cid:durableId="1501968635">
    <w:abstractNumId w:val="13"/>
  </w:num>
  <w:num w:numId="14" w16cid:durableId="1679044341">
    <w:abstractNumId w:val="3"/>
  </w:num>
  <w:num w:numId="15" w16cid:durableId="290135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393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30"/>
    <w:rsid w:val="0002700C"/>
    <w:rsid w:val="00040FF0"/>
    <w:rsid w:val="0004354A"/>
    <w:rsid w:val="00051AD1"/>
    <w:rsid w:val="00072A2C"/>
    <w:rsid w:val="00096B9A"/>
    <w:rsid w:val="000971E2"/>
    <w:rsid w:val="000B5165"/>
    <w:rsid w:val="000D14BE"/>
    <w:rsid w:val="000E41C5"/>
    <w:rsid w:val="0013146A"/>
    <w:rsid w:val="00141376"/>
    <w:rsid w:val="001636C7"/>
    <w:rsid w:val="00164ECA"/>
    <w:rsid w:val="00165DC5"/>
    <w:rsid w:val="00171007"/>
    <w:rsid w:val="00191C8B"/>
    <w:rsid w:val="00195340"/>
    <w:rsid w:val="001C1272"/>
    <w:rsid w:val="00215FBB"/>
    <w:rsid w:val="0025528E"/>
    <w:rsid w:val="00263291"/>
    <w:rsid w:val="00277833"/>
    <w:rsid w:val="00281454"/>
    <w:rsid w:val="00297F2C"/>
    <w:rsid w:val="002A3012"/>
    <w:rsid w:val="002A4D73"/>
    <w:rsid w:val="002C208C"/>
    <w:rsid w:val="002C220A"/>
    <w:rsid w:val="002C2CB1"/>
    <w:rsid w:val="002D2401"/>
    <w:rsid w:val="002E300E"/>
    <w:rsid w:val="002E63D2"/>
    <w:rsid w:val="002F3F7F"/>
    <w:rsid w:val="00305F72"/>
    <w:rsid w:val="00311E22"/>
    <w:rsid w:val="003172A1"/>
    <w:rsid w:val="00390BF5"/>
    <w:rsid w:val="003977B5"/>
    <w:rsid w:val="003A497D"/>
    <w:rsid w:val="003D4F8C"/>
    <w:rsid w:val="003D6925"/>
    <w:rsid w:val="003E00C1"/>
    <w:rsid w:val="003E4764"/>
    <w:rsid w:val="003F45BF"/>
    <w:rsid w:val="003F62E1"/>
    <w:rsid w:val="00421755"/>
    <w:rsid w:val="00424F4E"/>
    <w:rsid w:val="004C52B9"/>
    <w:rsid w:val="004E331E"/>
    <w:rsid w:val="004E381D"/>
    <w:rsid w:val="004F6BCD"/>
    <w:rsid w:val="00510359"/>
    <w:rsid w:val="00510DEB"/>
    <w:rsid w:val="00513EC3"/>
    <w:rsid w:val="005225E2"/>
    <w:rsid w:val="00565E3F"/>
    <w:rsid w:val="005714D6"/>
    <w:rsid w:val="00575CDA"/>
    <w:rsid w:val="005769D0"/>
    <w:rsid w:val="00576F54"/>
    <w:rsid w:val="005849AB"/>
    <w:rsid w:val="00584F1A"/>
    <w:rsid w:val="005A54E5"/>
    <w:rsid w:val="005C3D6A"/>
    <w:rsid w:val="00623893"/>
    <w:rsid w:val="00660EBD"/>
    <w:rsid w:val="00670CA3"/>
    <w:rsid w:val="0069385F"/>
    <w:rsid w:val="006A274A"/>
    <w:rsid w:val="006A2B47"/>
    <w:rsid w:val="006A2CEF"/>
    <w:rsid w:val="006B0C4C"/>
    <w:rsid w:val="006D4ACF"/>
    <w:rsid w:val="007020B5"/>
    <w:rsid w:val="00703FFC"/>
    <w:rsid w:val="00745AAE"/>
    <w:rsid w:val="00762C80"/>
    <w:rsid w:val="00773D67"/>
    <w:rsid w:val="007767FC"/>
    <w:rsid w:val="00795C6F"/>
    <w:rsid w:val="007E7738"/>
    <w:rsid w:val="008175D7"/>
    <w:rsid w:val="008430F4"/>
    <w:rsid w:val="008974BF"/>
    <w:rsid w:val="008A191A"/>
    <w:rsid w:val="008A62E3"/>
    <w:rsid w:val="008B5D92"/>
    <w:rsid w:val="008B7634"/>
    <w:rsid w:val="008C3D07"/>
    <w:rsid w:val="008C6052"/>
    <w:rsid w:val="008F49AF"/>
    <w:rsid w:val="008F5AF4"/>
    <w:rsid w:val="008F6C23"/>
    <w:rsid w:val="008F71EB"/>
    <w:rsid w:val="00913C2B"/>
    <w:rsid w:val="009248B1"/>
    <w:rsid w:val="009539AB"/>
    <w:rsid w:val="0097513E"/>
    <w:rsid w:val="0097679A"/>
    <w:rsid w:val="0099007C"/>
    <w:rsid w:val="00997092"/>
    <w:rsid w:val="009A4AA0"/>
    <w:rsid w:val="009C2748"/>
    <w:rsid w:val="009C3865"/>
    <w:rsid w:val="009F17C4"/>
    <w:rsid w:val="009F5031"/>
    <w:rsid w:val="009F6F01"/>
    <w:rsid w:val="00A0121D"/>
    <w:rsid w:val="00A132F7"/>
    <w:rsid w:val="00A2202A"/>
    <w:rsid w:val="00A34238"/>
    <w:rsid w:val="00A72760"/>
    <w:rsid w:val="00A77530"/>
    <w:rsid w:val="00AB2C5D"/>
    <w:rsid w:val="00AB3868"/>
    <w:rsid w:val="00AF492E"/>
    <w:rsid w:val="00B038CF"/>
    <w:rsid w:val="00B1267C"/>
    <w:rsid w:val="00B13C37"/>
    <w:rsid w:val="00B17045"/>
    <w:rsid w:val="00B176B4"/>
    <w:rsid w:val="00B375C1"/>
    <w:rsid w:val="00B501D8"/>
    <w:rsid w:val="00B60CEC"/>
    <w:rsid w:val="00B65AC1"/>
    <w:rsid w:val="00B74376"/>
    <w:rsid w:val="00B74782"/>
    <w:rsid w:val="00B94344"/>
    <w:rsid w:val="00BB12CE"/>
    <w:rsid w:val="00BE5938"/>
    <w:rsid w:val="00BE68F1"/>
    <w:rsid w:val="00C02E8C"/>
    <w:rsid w:val="00C2174C"/>
    <w:rsid w:val="00C348D3"/>
    <w:rsid w:val="00C37B39"/>
    <w:rsid w:val="00C65C38"/>
    <w:rsid w:val="00C86EAA"/>
    <w:rsid w:val="00CD1E7B"/>
    <w:rsid w:val="00CD2451"/>
    <w:rsid w:val="00CE1A28"/>
    <w:rsid w:val="00CF2235"/>
    <w:rsid w:val="00D037BE"/>
    <w:rsid w:val="00D03CF3"/>
    <w:rsid w:val="00D210B1"/>
    <w:rsid w:val="00D21A9F"/>
    <w:rsid w:val="00D359C8"/>
    <w:rsid w:val="00D4422E"/>
    <w:rsid w:val="00D85885"/>
    <w:rsid w:val="00D9124E"/>
    <w:rsid w:val="00D952AE"/>
    <w:rsid w:val="00D95E1D"/>
    <w:rsid w:val="00DF6163"/>
    <w:rsid w:val="00DF6E0C"/>
    <w:rsid w:val="00E04BAA"/>
    <w:rsid w:val="00E07A88"/>
    <w:rsid w:val="00E17D6F"/>
    <w:rsid w:val="00E250C9"/>
    <w:rsid w:val="00E32CAA"/>
    <w:rsid w:val="00E93C1E"/>
    <w:rsid w:val="00EB3BF1"/>
    <w:rsid w:val="00EC786E"/>
    <w:rsid w:val="00EF6983"/>
    <w:rsid w:val="00F03506"/>
    <w:rsid w:val="00F114E3"/>
    <w:rsid w:val="00F20DF9"/>
    <w:rsid w:val="00F4470C"/>
    <w:rsid w:val="00F708C6"/>
    <w:rsid w:val="00F73712"/>
    <w:rsid w:val="00FB443B"/>
    <w:rsid w:val="00FB6ECB"/>
    <w:rsid w:val="00FD0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3330"/>
  <w15:docId w15:val="{6F442172-066B-4403-9BF8-429F3CBE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A77530"/>
    <w:pPr>
      <w:autoSpaceDE w:val="0"/>
      <w:adjustRightInd w:val="0"/>
      <w:textAlignment w:val="auto"/>
    </w:pPr>
    <w:rPr>
      <w:rFonts w:ascii="Open Sans" w:eastAsiaTheme="minorHAnsi" w:hAnsi="Open Sans" w:cs="Open Sans"/>
      <w:color w:val="000000"/>
      <w:sz w:val="24"/>
      <w:szCs w:val="24"/>
      <w:lang w:eastAsia="en-US"/>
      <w14:ligatures w14:val="standardContextual"/>
    </w:rPr>
  </w:style>
  <w:style w:type="paragraph" w:styleId="Koptekst">
    <w:name w:val="header"/>
    <w:basedOn w:val="Standaard"/>
    <w:link w:val="KoptekstChar"/>
    <w:uiPriority w:val="99"/>
    <w:unhideWhenUsed/>
    <w:rsid w:val="00A775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7530"/>
    <w:rPr>
      <w:rFonts w:ascii="Verdana" w:hAnsi="Verdana"/>
      <w:color w:val="000000"/>
      <w:sz w:val="18"/>
      <w:szCs w:val="18"/>
    </w:rPr>
  </w:style>
  <w:style w:type="paragraph" w:styleId="Voettekst">
    <w:name w:val="footer"/>
    <w:basedOn w:val="Standaard"/>
    <w:link w:val="VoettekstChar"/>
    <w:uiPriority w:val="99"/>
    <w:unhideWhenUsed/>
    <w:rsid w:val="00A775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7530"/>
    <w:rPr>
      <w:rFonts w:ascii="Verdana" w:hAnsi="Verdana"/>
      <w:color w:val="000000"/>
      <w:sz w:val="18"/>
      <w:szCs w:val="18"/>
    </w:rPr>
  </w:style>
  <w:style w:type="character" w:styleId="Zwaar">
    <w:name w:val="Strong"/>
    <w:basedOn w:val="Standaardalinea-lettertype"/>
    <w:uiPriority w:val="22"/>
    <w:qFormat/>
    <w:rsid w:val="008B5D92"/>
    <w:rPr>
      <w:b/>
      <w:bCs/>
    </w:rPr>
  </w:style>
  <w:style w:type="paragraph" w:styleId="Revisie">
    <w:name w:val="Revision"/>
    <w:hidden/>
    <w:uiPriority w:val="99"/>
    <w:semiHidden/>
    <w:rsid w:val="008B763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77833"/>
    <w:rPr>
      <w:sz w:val="16"/>
      <w:szCs w:val="16"/>
    </w:rPr>
  </w:style>
  <w:style w:type="paragraph" w:styleId="Tekstopmerking">
    <w:name w:val="annotation text"/>
    <w:basedOn w:val="Standaard"/>
    <w:link w:val="TekstopmerkingChar"/>
    <w:uiPriority w:val="99"/>
    <w:unhideWhenUsed/>
    <w:rsid w:val="00277833"/>
    <w:pPr>
      <w:spacing w:line="240" w:lineRule="auto"/>
    </w:pPr>
    <w:rPr>
      <w:sz w:val="20"/>
      <w:szCs w:val="20"/>
    </w:rPr>
  </w:style>
  <w:style w:type="character" w:customStyle="1" w:styleId="TekstopmerkingChar">
    <w:name w:val="Tekst opmerking Char"/>
    <w:basedOn w:val="Standaardalinea-lettertype"/>
    <w:link w:val="Tekstopmerking"/>
    <w:uiPriority w:val="99"/>
    <w:rsid w:val="0027783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77833"/>
    <w:rPr>
      <w:b/>
      <w:bCs/>
    </w:rPr>
  </w:style>
  <w:style w:type="character" w:customStyle="1" w:styleId="OnderwerpvanopmerkingChar">
    <w:name w:val="Onderwerp van opmerking Char"/>
    <w:basedOn w:val="TekstopmerkingChar"/>
    <w:link w:val="Onderwerpvanopmerking"/>
    <w:uiPriority w:val="99"/>
    <w:semiHidden/>
    <w:rsid w:val="00277833"/>
    <w:rPr>
      <w:rFonts w:ascii="Verdana" w:hAnsi="Verdana"/>
      <w:b/>
      <w:bCs/>
      <w:color w:val="000000"/>
    </w:rPr>
  </w:style>
  <w:style w:type="character" w:customStyle="1" w:styleId="Zwaar1">
    <w:name w:val="Zwaar1"/>
    <w:basedOn w:val="Standaardalinea-lettertype"/>
    <w:rsid w:val="004F6BCD"/>
  </w:style>
  <w:style w:type="character" w:styleId="Hyperlink">
    <w:name w:val="Hyperlink"/>
    <w:basedOn w:val="Standaardalinea-lettertype"/>
    <w:uiPriority w:val="99"/>
    <w:semiHidden/>
    <w:unhideWhenUsed/>
    <w:rsid w:val="004F6BCD"/>
    <w:rPr>
      <w:color w:val="0000FF"/>
      <w:u w:val="single"/>
    </w:rPr>
  </w:style>
  <w:style w:type="paragraph" w:styleId="Voetnoottekst">
    <w:name w:val="footnote text"/>
    <w:basedOn w:val="Standaard"/>
    <w:link w:val="VoetnoottekstChar"/>
    <w:uiPriority w:val="99"/>
    <w:semiHidden/>
    <w:unhideWhenUsed/>
    <w:rsid w:val="004F6BC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F6BCD"/>
    <w:rPr>
      <w:rFonts w:ascii="Verdana" w:hAnsi="Verdana"/>
      <w:color w:val="000000"/>
    </w:rPr>
  </w:style>
  <w:style w:type="character" w:styleId="Voetnootmarkering">
    <w:name w:val="footnote reference"/>
    <w:basedOn w:val="Standaardalinea-lettertype"/>
    <w:uiPriority w:val="99"/>
    <w:semiHidden/>
    <w:unhideWhenUsed/>
    <w:rsid w:val="004F6BCD"/>
    <w:rPr>
      <w:vertAlign w:val="superscript"/>
    </w:rPr>
  </w:style>
  <w:style w:type="paragraph" w:styleId="Geenafstand">
    <w:name w:val="No Spacing"/>
    <w:uiPriority w:val="1"/>
    <w:qFormat/>
    <w:rsid w:val="00FB443B"/>
    <w:pPr>
      <w:autoSpaceDN/>
      <w:textAlignment w:val="auto"/>
    </w:pPr>
    <w:rPr>
      <w:rFonts w:ascii="Calibri" w:eastAsiaTheme="minorHAnsi" w:hAnsi="Calibri" w:cs="Calibri"/>
      <w:sz w:val="22"/>
      <w:szCs w:val="22"/>
      <w:lang w:eastAsia="en-US"/>
      <w14:ligatures w14:val="standardContextual"/>
    </w:rPr>
  </w:style>
  <w:style w:type="table" w:styleId="Tabelraster">
    <w:name w:val="Table Grid"/>
    <w:basedOn w:val="Standaardtabel"/>
    <w:uiPriority w:val="39"/>
    <w:rsid w:val="00FB443B"/>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F708C6"/>
    <w:rPr>
      <w:rFonts w:ascii="Segoe UI" w:hAnsi="Segoe UI" w:cs="Segoe UI" w:hint="default"/>
      <w:sz w:val="18"/>
      <w:szCs w:val="18"/>
    </w:rPr>
  </w:style>
  <w:style w:type="paragraph" w:customStyle="1" w:styleId="pf0">
    <w:name w:val="pf0"/>
    <w:basedOn w:val="Standaard"/>
    <w:rsid w:val="00C65C3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9621">
      <w:bodyDiv w:val="1"/>
      <w:marLeft w:val="0"/>
      <w:marRight w:val="0"/>
      <w:marTop w:val="0"/>
      <w:marBottom w:val="0"/>
      <w:divBdr>
        <w:top w:val="none" w:sz="0" w:space="0" w:color="auto"/>
        <w:left w:val="none" w:sz="0" w:space="0" w:color="auto"/>
        <w:bottom w:val="none" w:sz="0" w:space="0" w:color="auto"/>
        <w:right w:val="none" w:sz="0" w:space="0" w:color="auto"/>
      </w:divBdr>
    </w:div>
    <w:div w:id="256715029">
      <w:bodyDiv w:val="1"/>
      <w:marLeft w:val="0"/>
      <w:marRight w:val="0"/>
      <w:marTop w:val="0"/>
      <w:marBottom w:val="0"/>
      <w:divBdr>
        <w:top w:val="none" w:sz="0" w:space="0" w:color="auto"/>
        <w:left w:val="none" w:sz="0" w:space="0" w:color="auto"/>
        <w:bottom w:val="none" w:sz="0" w:space="0" w:color="auto"/>
        <w:right w:val="none" w:sz="0" w:space="0" w:color="auto"/>
      </w:divBdr>
    </w:div>
    <w:div w:id="461653643">
      <w:bodyDiv w:val="1"/>
      <w:marLeft w:val="0"/>
      <w:marRight w:val="0"/>
      <w:marTop w:val="0"/>
      <w:marBottom w:val="0"/>
      <w:divBdr>
        <w:top w:val="none" w:sz="0" w:space="0" w:color="auto"/>
        <w:left w:val="none" w:sz="0" w:space="0" w:color="auto"/>
        <w:bottom w:val="none" w:sz="0" w:space="0" w:color="auto"/>
        <w:right w:val="none" w:sz="0" w:space="0" w:color="auto"/>
      </w:divBdr>
    </w:div>
    <w:div w:id="529609926">
      <w:bodyDiv w:val="1"/>
      <w:marLeft w:val="0"/>
      <w:marRight w:val="0"/>
      <w:marTop w:val="0"/>
      <w:marBottom w:val="0"/>
      <w:divBdr>
        <w:top w:val="none" w:sz="0" w:space="0" w:color="auto"/>
        <w:left w:val="none" w:sz="0" w:space="0" w:color="auto"/>
        <w:bottom w:val="none" w:sz="0" w:space="0" w:color="auto"/>
        <w:right w:val="none" w:sz="0" w:space="0" w:color="auto"/>
      </w:divBdr>
    </w:div>
    <w:div w:id="561405267">
      <w:bodyDiv w:val="1"/>
      <w:marLeft w:val="0"/>
      <w:marRight w:val="0"/>
      <w:marTop w:val="0"/>
      <w:marBottom w:val="0"/>
      <w:divBdr>
        <w:top w:val="none" w:sz="0" w:space="0" w:color="auto"/>
        <w:left w:val="none" w:sz="0" w:space="0" w:color="auto"/>
        <w:bottom w:val="none" w:sz="0" w:space="0" w:color="auto"/>
        <w:right w:val="none" w:sz="0" w:space="0" w:color="auto"/>
      </w:divBdr>
    </w:div>
    <w:div w:id="683017662">
      <w:bodyDiv w:val="1"/>
      <w:marLeft w:val="0"/>
      <w:marRight w:val="0"/>
      <w:marTop w:val="0"/>
      <w:marBottom w:val="0"/>
      <w:divBdr>
        <w:top w:val="none" w:sz="0" w:space="0" w:color="auto"/>
        <w:left w:val="none" w:sz="0" w:space="0" w:color="auto"/>
        <w:bottom w:val="none" w:sz="0" w:space="0" w:color="auto"/>
        <w:right w:val="none" w:sz="0" w:space="0" w:color="auto"/>
      </w:divBdr>
    </w:div>
    <w:div w:id="1229540152">
      <w:bodyDiv w:val="1"/>
      <w:marLeft w:val="0"/>
      <w:marRight w:val="0"/>
      <w:marTop w:val="0"/>
      <w:marBottom w:val="0"/>
      <w:divBdr>
        <w:top w:val="none" w:sz="0" w:space="0" w:color="auto"/>
        <w:left w:val="none" w:sz="0" w:space="0" w:color="auto"/>
        <w:bottom w:val="none" w:sz="0" w:space="0" w:color="auto"/>
        <w:right w:val="none" w:sz="0" w:space="0" w:color="auto"/>
      </w:divBdr>
    </w:div>
    <w:div w:id="175539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3852</ap:Words>
  <ap:Characters>21190</ap:Characters>
  <ap:DocSecurity>0</ap:DocSecurity>
  <ap:Lines>176</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2024-06-13T07:47:00.0000000Z</lastPrinted>
  <dcterms:created xsi:type="dcterms:W3CDTF">2024-06-05T07:45:00.0000000Z</dcterms:created>
  <dcterms:modified xsi:type="dcterms:W3CDTF">2024-06-17T11:19:00.0000000Z</dcterms:modified>
  <dc:description>------------------------</dc:description>
  <dc:subject/>
  <dc:title/>
  <keywords/>
  <version/>
  <category/>
</coreProperties>
</file>