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19962373f6c4178"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A147" w14:textId="77777777" w:rsidR="00936337" w:rsidRPr="00A577C9" w:rsidRDefault="00936337" w:rsidP="00A577C9">
      <w:pPr>
        <w:ind w:right="-512"/>
        <w:rPr>
          <w:rFonts w:asciiTheme="majorHAnsi" w:hAnsiTheme="majorHAnsi" w:cstheme="majorHAnsi"/>
          <w:b/>
          <w:color w:val="00ADEE" w:themeColor="accent1"/>
          <w:sz w:val="36"/>
          <w:szCs w:val="36"/>
        </w:rPr>
      </w:pPr>
      <w:r w:rsidRPr="00A577C9">
        <w:rPr>
          <w:rFonts w:asciiTheme="majorHAnsi" w:hAnsiTheme="majorHAnsi" w:cstheme="majorHAnsi"/>
          <w:b/>
          <w:color w:val="00ADEE" w:themeColor="accent1"/>
          <w:sz w:val="36"/>
          <w:szCs w:val="36"/>
        </w:rPr>
        <w:t>Veel gestelde vragen &amp; antwoorden over aansprakelijkheid</w:t>
      </w:r>
    </w:p>
    <w:p w14:paraId="220EBD21" w14:textId="77777777" w:rsidR="00ED21A6" w:rsidRDefault="00ED21A6" w:rsidP="00936337"/>
    <w:p w14:paraId="2437861D" w14:textId="7EDAFCA7" w:rsidR="00936337" w:rsidRPr="00CB4E83" w:rsidRDefault="00936337" w:rsidP="00936337">
      <w:pPr>
        <w:rPr>
          <w:i/>
        </w:rPr>
      </w:pPr>
      <w:r w:rsidRPr="00CB4E83">
        <w:rPr>
          <w:i/>
        </w:rPr>
        <w:t>VSV’s en IGO’s vragen zich regelmatig af hoe het zit met verantwoordelijkheid en aansprakelijkheid bij integrale geboortezorg. Zo kan er bijvoorbeeld sprake zijn van</w:t>
      </w:r>
      <w:r>
        <w:rPr>
          <w:i/>
        </w:rPr>
        <w:t xml:space="preserve"> </w:t>
      </w:r>
      <w:r w:rsidRPr="00CB4E83">
        <w:rPr>
          <w:i/>
        </w:rPr>
        <w:t>civielrechtelijke</w:t>
      </w:r>
      <w:r>
        <w:rPr>
          <w:i/>
        </w:rPr>
        <w:t xml:space="preserve"> of tuchtrechtelijke</w:t>
      </w:r>
      <w:r w:rsidRPr="00CB4E83">
        <w:rPr>
          <w:i/>
        </w:rPr>
        <w:t xml:space="preserve"> aansprakelijkheid. Het juridisch kader aansprakelijkheid (april 2019)</w:t>
      </w:r>
      <w:r>
        <w:rPr>
          <w:i/>
        </w:rPr>
        <w:t xml:space="preserve"> en de h</w:t>
      </w:r>
      <w:r w:rsidRPr="00CB4E83">
        <w:rPr>
          <w:i/>
        </w:rPr>
        <w:t xml:space="preserve">andreiking verantwoordelijkheid en aansprakelijkheid bij integrale zorg (april 2016) geven een goed inzicht in dit thema. </w:t>
      </w:r>
      <w:r>
        <w:rPr>
          <w:i/>
        </w:rPr>
        <w:t>Mede op</w:t>
      </w:r>
      <w:r w:rsidRPr="00CB4E83">
        <w:rPr>
          <w:i/>
        </w:rPr>
        <w:t xml:space="preserve"> basis hiervan is een overzicht van veel gestelde vragen en antwoorden opgesteld.</w:t>
      </w:r>
    </w:p>
    <w:p w14:paraId="0120C03C" w14:textId="77777777" w:rsidR="00936337" w:rsidRDefault="00936337" w:rsidP="00936337"/>
    <w:p w14:paraId="607B6C07" w14:textId="77777777" w:rsidR="00936337" w:rsidRPr="00AE0850" w:rsidRDefault="00936337" w:rsidP="00936337">
      <w:pPr>
        <w:pStyle w:val="Lijstalinea"/>
        <w:numPr>
          <w:ilvl w:val="0"/>
          <w:numId w:val="15"/>
        </w:numPr>
        <w:rPr>
          <w:b/>
          <w:color w:val="00B0F0"/>
          <w:sz w:val="24"/>
          <w:szCs w:val="24"/>
        </w:rPr>
      </w:pPr>
      <w:r w:rsidRPr="00AE0850">
        <w:rPr>
          <w:b/>
          <w:color w:val="00B0F0"/>
          <w:sz w:val="24"/>
          <w:szCs w:val="24"/>
        </w:rPr>
        <w:t>Wat is het uitgangspunt van aansprakelijkheid?</w:t>
      </w:r>
    </w:p>
    <w:p w14:paraId="6A91C41E" w14:textId="386183B8" w:rsidR="00E63394" w:rsidRDefault="00936337" w:rsidP="006D057F">
      <w:pPr>
        <w:pStyle w:val="Lijstalinea"/>
      </w:pPr>
      <w:r>
        <w:t xml:space="preserve">Iedereen draagt zijn eigen schade, tenzij een ander hiervoor aansprakelijk is. Bij zorg voor individuele zwangeren </w:t>
      </w:r>
      <w:r w:rsidR="006D057F">
        <w:t>is het</w:t>
      </w:r>
      <w:r>
        <w:t xml:space="preserve"> uitgangspunt dat iedere geboortezorgprofessional </w:t>
      </w:r>
      <w:r w:rsidR="00C654AE">
        <w:t>verantwoordelijk</w:t>
      </w:r>
      <w:r>
        <w:t xml:space="preserve"> is voor het eigen handelen. </w:t>
      </w:r>
    </w:p>
    <w:p w14:paraId="735A41F3" w14:textId="77777777" w:rsidR="00936337" w:rsidRDefault="00936337" w:rsidP="00936337">
      <w:pPr>
        <w:pStyle w:val="Lijstalinea"/>
      </w:pPr>
    </w:p>
    <w:p w14:paraId="68A0FFFC" w14:textId="77777777" w:rsidR="00936337" w:rsidRPr="00AE0850" w:rsidRDefault="00936337" w:rsidP="00936337">
      <w:pPr>
        <w:pStyle w:val="Lijstalinea"/>
        <w:numPr>
          <w:ilvl w:val="0"/>
          <w:numId w:val="15"/>
        </w:numPr>
        <w:rPr>
          <w:b/>
          <w:color w:val="00B0F0"/>
          <w:sz w:val="24"/>
          <w:szCs w:val="24"/>
        </w:rPr>
      </w:pPr>
      <w:r w:rsidRPr="00AE0850">
        <w:rPr>
          <w:b/>
          <w:color w:val="00B0F0"/>
          <w:sz w:val="24"/>
          <w:szCs w:val="24"/>
        </w:rPr>
        <w:t>Wat is stel- en bewijsplicht?</w:t>
      </w:r>
    </w:p>
    <w:p w14:paraId="0389585E" w14:textId="334DC056" w:rsidR="00936337" w:rsidRDefault="00936337" w:rsidP="00936337">
      <w:pPr>
        <w:pStyle w:val="Lijstalinea"/>
      </w:pPr>
      <w:r>
        <w:t>Om in aanmerking te komen voor een schadevergoeding zal de zwangere</w:t>
      </w:r>
      <w:r w:rsidR="002D02E4">
        <w:t>/moeder</w:t>
      </w:r>
      <w:r>
        <w:t xml:space="preserve"> moeten stellen en bewijzen dat de geboortezorgprofessional onzorgvuldig heeft gehandeld of heeft nagelaten te handelen daar waar dat wel had gemoeten.</w:t>
      </w:r>
    </w:p>
    <w:p w14:paraId="470FBE41" w14:textId="77777777" w:rsidR="00936337" w:rsidRDefault="00936337" w:rsidP="00936337">
      <w:pPr>
        <w:pStyle w:val="Lijstalinea"/>
      </w:pPr>
    </w:p>
    <w:p w14:paraId="42028E9E" w14:textId="7CB7CB3F" w:rsidR="00936337" w:rsidRPr="001E745A" w:rsidRDefault="00936337" w:rsidP="00936337">
      <w:pPr>
        <w:pStyle w:val="Lijstalinea"/>
        <w:numPr>
          <w:ilvl w:val="0"/>
          <w:numId w:val="15"/>
        </w:numPr>
        <w:rPr>
          <w:b/>
          <w:color w:val="00B0F0"/>
          <w:sz w:val="24"/>
          <w:szCs w:val="24"/>
        </w:rPr>
      </w:pPr>
      <w:r>
        <w:rPr>
          <w:b/>
          <w:color w:val="00B0F0"/>
          <w:sz w:val="24"/>
          <w:szCs w:val="24"/>
        </w:rPr>
        <w:t xml:space="preserve">Wat is het verschil tussen verantwoordelijkheid en aansprakelijkheid? </w:t>
      </w:r>
      <w:r>
        <w:rPr>
          <w:b/>
          <w:color w:val="00B0F0"/>
          <w:sz w:val="24"/>
          <w:szCs w:val="24"/>
        </w:rPr>
        <w:br/>
      </w:r>
      <w:r>
        <w:t>Verantwoordelijkheid is de verplichting om te voldoen aan één of meer juridische normen</w:t>
      </w:r>
      <w:r w:rsidR="004477C5">
        <w:t xml:space="preserve"> (zie volgende vraag)</w:t>
      </w:r>
      <w:r>
        <w:t xml:space="preserve">. Aansprakelijkheid is de juridische consequentie die zich kan voordoen als niet aan deze norm of normen wordt voldaan. </w:t>
      </w:r>
    </w:p>
    <w:p w14:paraId="7726166A" w14:textId="77777777" w:rsidR="00936337" w:rsidRDefault="00936337" w:rsidP="00936337">
      <w:pPr>
        <w:pStyle w:val="Lijstalinea"/>
        <w:rPr>
          <w:b/>
          <w:color w:val="00B0F0"/>
          <w:sz w:val="24"/>
          <w:szCs w:val="24"/>
        </w:rPr>
      </w:pPr>
    </w:p>
    <w:p w14:paraId="0B36EA9B" w14:textId="77777777" w:rsidR="00936337" w:rsidRPr="001E745A" w:rsidRDefault="00936337" w:rsidP="00936337">
      <w:pPr>
        <w:pStyle w:val="Lijstalinea"/>
        <w:numPr>
          <w:ilvl w:val="0"/>
          <w:numId w:val="15"/>
        </w:numPr>
        <w:rPr>
          <w:b/>
          <w:color w:val="00B0F0"/>
          <w:sz w:val="24"/>
          <w:szCs w:val="24"/>
        </w:rPr>
      </w:pPr>
      <w:r w:rsidRPr="001E745A">
        <w:rPr>
          <w:b/>
          <w:color w:val="00B0F0"/>
          <w:sz w:val="24"/>
          <w:szCs w:val="24"/>
        </w:rPr>
        <w:t>Welke juridische normen spelen bij integrale geboortezorg?</w:t>
      </w:r>
      <w:r w:rsidRPr="001E745A">
        <w:rPr>
          <w:b/>
          <w:color w:val="00B0F0"/>
          <w:sz w:val="24"/>
          <w:szCs w:val="24"/>
        </w:rPr>
        <w:br/>
      </w:r>
      <w:r>
        <w:t>De belangrijkste juridische normen die spelen bij integrale geboortezorg zijn:</w:t>
      </w:r>
    </w:p>
    <w:p w14:paraId="0197207F" w14:textId="77777777" w:rsidR="00535F12" w:rsidRDefault="00535F12" w:rsidP="00535F12">
      <w:pPr>
        <w:pStyle w:val="Lijstalinea"/>
        <w:numPr>
          <w:ilvl w:val="0"/>
          <w:numId w:val="17"/>
        </w:numPr>
      </w:pPr>
      <w:r w:rsidRPr="00AE121F">
        <w:t>Voldoen aan</w:t>
      </w:r>
      <w:r>
        <w:t xml:space="preserve"> privaatrecht/WGBO.</w:t>
      </w:r>
    </w:p>
    <w:p w14:paraId="54D2E6CB" w14:textId="1C3CD26E" w:rsidR="00936337" w:rsidRPr="00AE121F" w:rsidRDefault="00936337" w:rsidP="00936337">
      <w:pPr>
        <w:pStyle w:val="Lijstalinea"/>
        <w:numPr>
          <w:ilvl w:val="0"/>
          <w:numId w:val="17"/>
        </w:numPr>
      </w:pPr>
      <w:r w:rsidRPr="00AE121F">
        <w:t>Voldoen aan de Wet B</w:t>
      </w:r>
      <w:r>
        <w:t>ig</w:t>
      </w:r>
      <w:r w:rsidR="00270D8B">
        <w:t xml:space="preserve">/ </w:t>
      </w:r>
      <w:r w:rsidR="00270D8B" w:rsidRPr="00D73523">
        <w:t>tuchtrecht</w:t>
      </w:r>
      <w:r w:rsidR="00535F12">
        <w:t>.</w:t>
      </w:r>
    </w:p>
    <w:p w14:paraId="39ECD336" w14:textId="77777777" w:rsidR="00936337" w:rsidRPr="00AE121F" w:rsidRDefault="00936337" w:rsidP="00936337">
      <w:pPr>
        <w:pStyle w:val="Lijstalinea"/>
        <w:numPr>
          <w:ilvl w:val="0"/>
          <w:numId w:val="17"/>
        </w:numPr>
      </w:pPr>
      <w:r w:rsidRPr="00AE121F">
        <w:t>Voldoen aan de Wkkgz</w:t>
      </w:r>
      <w:r>
        <w:t>.</w:t>
      </w:r>
    </w:p>
    <w:p w14:paraId="775A1752" w14:textId="7D2E1DD6" w:rsidR="00CE4D62" w:rsidRPr="00AE121F" w:rsidRDefault="00CE4D62" w:rsidP="00CE4D62">
      <w:pPr>
        <w:ind w:left="720"/>
      </w:pPr>
      <w:r>
        <w:t>Deze normen geven de verplichtingen aan waaraan een geboortezorgprofessional moet voldoen.</w:t>
      </w:r>
    </w:p>
    <w:p w14:paraId="1F5AE789" w14:textId="77777777" w:rsidR="00535F12" w:rsidRDefault="00535F12" w:rsidP="00535F12">
      <w:pPr>
        <w:rPr>
          <w:b/>
          <w:sz w:val="32"/>
          <w:szCs w:val="32"/>
        </w:rPr>
      </w:pPr>
    </w:p>
    <w:p w14:paraId="7278629F" w14:textId="3CD81DE2" w:rsidR="00535F12" w:rsidRPr="00535F12" w:rsidRDefault="00535F12" w:rsidP="00535F12">
      <w:pPr>
        <w:ind w:left="360"/>
        <w:rPr>
          <w:b/>
          <w:sz w:val="32"/>
          <w:szCs w:val="32"/>
        </w:rPr>
      </w:pPr>
      <w:r w:rsidRPr="00A577C9">
        <w:rPr>
          <w:b/>
          <w:sz w:val="32"/>
          <w:szCs w:val="32"/>
        </w:rPr>
        <w:t>I Voldoen aan privaatrecht/ WGBO</w:t>
      </w:r>
    </w:p>
    <w:p w14:paraId="0F6C6474" w14:textId="77777777" w:rsidR="00535F12" w:rsidRDefault="00535F12" w:rsidP="00535F12">
      <w:pPr>
        <w:pStyle w:val="Lijstalinea"/>
        <w:numPr>
          <w:ilvl w:val="0"/>
          <w:numId w:val="15"/>
        </w:numPr>
        <w:rPr>
          <w:b/>
          <w:color w:val="00B0F0"/>
          <w:sz w:val="24"/>
          <w:szCs w:val="24"/>
        </w:rPr>
      </w:pPr>
      <w:r>
        <w:rPr>
          <w:b/>
          <w:color w:val="00B0F0"/>
          <w:sz w:val="24"/>
          <w:szCs w:val="24"/>
        </w:rPr>
        <w:t>Met wie sluit de zwangere/moeder de geneeskundige behandelovereenkomst?</w:t>
      </w:r>
    </w:p>
    <w:p w14:paraId="4C565ED4" w14:textId="77777777" w:rsidR="00535F12" w:rsidRPr="00D73523" w:rsidRDefault="00535F12" w:rsidP="00535F12">
      <w:pPr>
        <w:pStyle w:val="Lijstalinea"/>
        <w:rPr>
          <w:b/>
          <w:sz w:val="24"/>
          <w:szCs w:val="24"/>
        </w:rPr>
      </w:pPr>
      <w:r w:rsidRPr="00D73523">
        <w:t xml:space="preserve">De verloskundige sluit een geneeskundige behandelovereenkomst met de zwangere/ moeder. In voorkomende gevallen sluit de zwangere/ moeder een geneeskundige behandelovereenkomst met het ziekenhuis/ de gynaecoloog. Een IGO is géén zorgaanbieder (althans in de huidige verschijningsvormen) en sluit géén geneeskundige behandelovereenkomst met de zwanger/ de moeder. Dit ligt </w:t>
      </w:r>
      <w:r w:rsidRPr="00D73523">
        <w:rPr>
          <w:u w:val="single"/>
        </w:rPr>
        <w:t>niet</w:t>
      </w:r>
      <w:r w:rsidRPr="00D73523">
        <w:t xml:space="preserve"> anders wanneer de IGO met een zorgverzekeraar contractuele afspraken maakt over integrale geboortezorg en -bekostiging.</w:t>
      </w:r>
    </w:p>
    <w:p w14:paraId="2880B6B2" w14:textId="77777777" w:rsidR="00535F12" w:rsidRPr="0090771B" w:rsidRDefault="00535F12" w:rsidP="00535F12">
      <w:pPr>
        <w:rPr>
          <w:b/>
          <w:color w:val="00B0F0"/>
          <w:sz w:val="24"/>
          <w:szCs w:val="24"/>
        </w:rPr>
      </w:pPr>
    </w:p>
    <w:p w14:paraId="6CED8FAC" w14:textId="77777777" w:rsidR="00535F12" w:rsidRPr="000436B8" w:rsidRDefault="00535F12" w:rsidP="00535F12">
      <w:pPr>
        <w:pStyle w:val="Lijstalinea"/>
        <w:numPr>
          <w:ilvl w:val="0"/>
          <w:numId w:val="15"/>
        </w:numPr>
        <w:rPr>
          <w:b/>
          <w:color w:val="00B0F0"/>
          <w:sz w:val="24"/>
          <w:szCs w:val="24"/>
        </w:rPr>
      </w:pPr>
      <w:bookmarkStart w:id="0" w:name="_Hlk19102274"/>
      <w:r w:rsidRPr="000436B8">
        <w:rPr>
          <w:b/>
          <w:color w:val="00B0F0"/>
          <w:sz w:val="24"/>
          <w:szCs w:val="24"/>
        </w:rPr>
        <w:t>Is het soort IGO van belang bij aansprakelijkheid?</w:t>
      </w:r>
    </w:p>
    <w:bookmarkEnd w:id="0"/>
    <w:p w14:paraId="70AD9E7C" w14:textId="55F8C9C6" w:rsidR="00535F12" w:rsidRPr="00D73523" w:rsidRDefault="00535F12" w:rsidP="00535F12">
      <w:pPr>
        <w:ind w:left="709"/>
      </w:pPr>
      <w:r w:rsidRPr="00D73523">
        <w:t xml:space="preserve">De huidige </w:t>
      </w:r>
      <w:proofErr w:type="spellStart"/>
      <w:r w:rsidRPr="00D73523">
        <w:t>IGO’s</w:t>
      </w:r>
      <w:proofErr w:type="spellEnd"/>
      <w:r w:rsidRPr="00D73523">
        <w:t xml:space="preserve"> zijn géén zorgaanbieders/zorginstellingen. De IGO:</w:t>
      </w:r>
    </w:p>
    <w:p w14:paraId="4FA5F58E" w14:textId="77777777" w:rsidR="00535F12" w:rsidRPr="00D73523" w:rsidRDefault="00535F12" w:rsidP="00535F12">
      <w:pPr>
        <w:pStyle w:val="Lijstalinea"/>
        <w:numPr>
          <w:ilvl w:val="1"/>
          <w:numId w:val="16"/>
        </w:numPr>
      </w:pPr>
      <w:r w:rsidRPr="00D73523">
        <w:t xml:space="preserve">is niet verantwoordelijk voor </w:t>
      </w:r>
      <w:proofErr w:type="spellStart"/>
      <w:r w:rsidRPr="00D73523">
        <w:t>Wkkgz</w:t>
      </w:r>
      <w:proofErr w:type="spellEnd"/>
      <w:r w:rsidRPr="00D73523">
        <w:t xml:space="preserve"> verplichtingen (kwaliteit en afhandeling van klachten en geschillen).</w:t>
      </w:r>
    </w:p>
    <w:p w14:paraId="2CCA21D4" w14:textId="77777777" w:rsidR="00535F12" w:rsidRPr="00D73523" w:rsidRDefault="00535F12" w:rsidP="00535F12">
      <w:pPr>
        <w:pStyle w:val="Lijstalinea"/>
        <w:numPr>
          <w:ilvl w:val="1"/>
          <w:numId w:val="16"/>
        </w:numPr>
      </w:pPr>
      <w:r w:rsidRPr="00D73523">
        <w:t>sluit geen geneeskundige behandelingsovereenkomst met de zwangere (WGBO).</w:t>
      </w:r>
    </w:p>
    <w:p w14:paraId="6180824D" w14:textId="77777777" w:rsidR="00535F12" w:rsidRPr="00D73523" w:rsidRDefault="00535F12" w:rsidP="00535F12">
      <w:pPr>
        <w:pStyle w:val="Lijstalinea"/>
        <w:numPr>
          <w:ilvl w:val="1"/>
          <w:numId w:val="16"/>
        </w:numPr>
      </w:pPr>
      <w:r w:rsidRPr="00D73523">
        <w:t>valt niet onder de wet toelating zorginstellingen (</w:t>
      </w:r>
      <w:proofErr w:type="spellStart"/>
      <w:r w:rsidRPr="00D73523">
        <w:t>Wtzi</w:t>
      </w:r>
      <w:proofErr w:type="spellEnd"/>
      <w:r w:rsidRPr="00D73523">
        <w:t>).</w:t>
      </w:r>
    </w:p>
    <w:p w14:paraId="1A13BE55" w14:textId="77777777" w:rsidR="00535F12" w:rsidRPr="00D73523" w:rsidRDefault="00535F12" w:rsidP="00535F12">
      <w:pPr>
        <w:pStyle w:val="Lijstalinea"/>
        <w:numPr>
          <w:ilvl w:val="1"/>
          <w:numId w:val="16"/>
        </w:numPr>
      </w:pPr>
      <w:r w:rsidRPr="00D73523">
        <w:t xml:space="preserve">zal niet snel voor de </w:t>
      </w:r>
      <w:bookmarkStart w:id="1" w:name="_Hlk10817035"/>
      <w:r w:rsidRPr="00D73523">
        <w:rPr>
          <w:i/>
        </w:rPr>
        <w:t>inhoud van de zorgverlening</w:t>
      </w:r>
      <w:r w:rsidRPr="00D73523">
        <w:t xml:space="preserve"> </w:t>
      </w:r>
      <w:bookmarkEnd w:id="1"/>
      <w:r w:rsidRPr="00D73523">
        <w:t>aansprakelijk zijn.</w:t>
      </w:r>
    </w:p>
    <w:p w14:paraId="0C4D89BD" w14:textId="7CF69EF3" w:rsidR="00535F12" w:rsidRDefault="00535F12" w:rsidP="00535F12">
      <w:pPr>
        <w:pStyle w:val="Lijstalinea"/>
        <w:numPr>
          <w:ilvl w:val="1"/>
          <w:numId w:val="16"/>
        </w:numPr>
      </w:pPr>
      <w:r w:rsidRPr="00D73523">
        <w:lastRenderedPageBreak/>
        <w:t>zal doorgaans niet voor de organisatie van de zorg/ het proces van de zorgverlening aansprakelijk zijn.</w:t>
      </w:r>
    </w:p>
    <w:p w14:paraId="35B5E998" w14:textId="77777777" w:rsidR="00535F12" w:rsidRDefault="00535F12" w:rsidP="00535F12"/>
    <w:p w14:paraId="1ECF3DD1" w14:textId="77777777" w:rsidR="00535F12" w:rsidRPr="004D231B" w:rsidRDefault="00535F12" w:rsidP="00535F12">
      <w:pPr>
        <w:pStyle w:val="Lijstalinea"/>
        <w:numPr>
          <w:ilvl w:val="0"/>
          <w:numId w:val="15"/>
        </w:numPr>
        <w:rPr>
          <w:b/>
          <w:color w:val="00B0F0"/>
          <w:sz w:val="24"/>
          <w:szCs w:val="24"/>
        </w:rPr>
      </w:pPr>
      <w:r>
        <w:rPr>
          <w:b/>
          <w:color w:val="00B0F0"/>
          <w:sz w:val="24"/>
          <w:szCs w:val="24"/>
        </w:rPr>
        <w:t>Geldt voor een IGO centrale aansprakelijkheid?</w:t>
      </w:r>
    </w:p>
    <w:p w14:paraId="0F834D5A" w14:textId="77777777" w:rsidR="00535F12" w:rsidRPr="00A577C9" w:rsidRDefault="00535F12" w:rsidP="00535F12">
      <w:pPr>
        <w:pStyle w:val="Lijstalinea"/>
      </w:pPr>
      <w:r w:rsidRPr="00D73523">
        <w:t xml:space="preserve">De huidige </w:t>
      </w:r>
      <w:proofErr w:type="spellStart"/>
      <w:r w:rsidRPr="00D73523">
        <w:t>IGO’s</w:t>
      </w:r>
      <w:proofErr w:type="spellEnd"/>
      <w:r w:rsidRPr="00D73523">
        <w:t xml:space="preserve"> zijn géén zorgaanbieders/zorginstellingen.</w:t>
      </w:r>
      <w:r>
        <w:t xml:space="preserve"> Gevolg hiervan is dat er voor een IGO géén centrale aansprakelijkheid - zoals bij ziekenhuizen - geldt. Dus de IGO is niet mede aansprakelijk voor een eventuele tekortkoming in geneeskundige behandelovereenkomst die door een geboortezorgprofessional is gesloten.</w:t>
      </w:r>
      <w:r>
        <w:br/>
      </w:r>
    </w:p>
    <w:p w14:paraId="0D80B67F" w14:textId="77777777" w:rsidR="00902F5B" w:rsidRPr="004D231B" w:rsidRDefault="00902F5B" w:rsidP="00902F5B">
      <w:pPr>
        <w:pStyle w:val="Lijstalinea"/>
        <w:numPr>
          <w:ilvl w:val="0"/>
          <w:numId w:val="15"/>
        </w:numPr>
        <w:rPr>
          <w:b/>
          <w:color w:val="00B0F0"/>
          <w:sz w:val="24"/>
          <w:szCs w:val="24"/>
        </w:rPr>
      </w:pPr>
      <w:r>
        <w:rPr>
          <w:b/>
          <w:color w:val="00B0F0"/>
          <w:sz w:val="24"/>
          <w:szCs w:val="24"/>
        </w:rPr>
        <w:t>Hoe zit het met civielrechtelijke aansprakelijkheid?</w:t>
      </w:r>
    </w:p>
    <w:p w14:paraId="6687DB96" w14:textId="411BF78E" w:rsidR="00535F12" w:rsidRDefault="00535F12" w:rsidP="00535F12">
      <w:pPr>
        <w:pStyle w:val="Lijstalinea"/>
      </w:pPr>
      <w:r>
        <w:t>Naast medische aansprakelijkheid voor moeder of kind (zie ook paragraaf II), bestaan er ook andere vormen van aansprakelijkheid. B</w:t>
      </w:r>
      <w:r w:rsidRPr="00D73523">
        <w:t xml:space="preserve">ij samenwerking kan een nieuwe aansprakelijkheid ontstaan </w:t>
      </w:r>
      <w:r>
        <w:t>met</w:t>
      </w:r>
      <w:r w:rsidRPr="00D73523">
        <w:t xml:space="preserve"> de uitvoering van de samenwerkingsafspraken. </w:t>
      </w:r>
      <w:r w:rsidRPr="00535F12">
        <w:t xml:space="preserve">Bijvoorbeeld een geschil over de verdeelsleutel bij integrale bekostiging of betalingen die de IGO ontvangt, maar niet doorsluist naar de betrokken zorgaanbieder of een geschil over gegevensuitwisseling in het kader van </w:t>
      </w:r>
      <w:proofErr w:type="spellStart"/>
      <w:r w:rsidRPr="00535F12">
        <w:t>Babyconnect</w:t>
      </w:r>
      <w:proofErr w:type="spellEnd"/>
      <w:r w:rsidRPr="00535F12">
        <w:t>.</w:t>
      </w:r>
    </w:p>
    <w:p w14:paraId="04FFFF5C" w14:textId="77777777" w:rsidR="00535F12" w:rsidRPr="00242627" w:rsidRDefault="00535F12" w:rsidP="00535F12">
      <w:pPr>
        <w:pStyle w:val="Lijstalinea"/>
        <w:rPr>
          <w:color w:val="FF0000"/>
        </w:rPr>
      </w:pPr>
    </w:p>
    <w:p w14:paraId="6BF4152E" w14:textId="77777777" w:rsidR="00535F12" w:rsidRPr="00D73523" w:rsidRDefault="00535F12" w:rsidP="00535F12">
      <w:pPr>
        <w:pStyle w:val="Lijstalinea"/>
      </w:pPr>
      <w:r w:rsidRPr="00D73523">
        <w:t>Als uitgangspunt geldt dat alleen een rechtspersoon aansprakelijk is. Onder bijzondere omstandigheden kunnen naast de rechtspersoon ook de bestuurders persoonlijk aansprakelijk zijn. De bestuurder moet dan persoonlijk een ernstig verwijt kunnen worden gemaakt.</w:t>
      </w:r>
    </w:p>
    <w:p w14:paraId="32E080AF" w14:textId="77777777" w:rsidR="00535F12" w:rsidRDefault="00535F12" w:rsidP="00535F12">
      <w:pPr>
        <w:rPr>
          <w:b/>
          <w:sz w:val="32"/>
          <w:szCs w:val="32"/>
        </w:rPr>
      </w:pPr>
    </w:p>
    <w:p w14:paraId="58C90BAF" w14:textId="7A9B8F5F" w:rsidR="00E571C1" w:rsidRPr="00535F12" w:rsidRDefault="00E571C1" w:rsidP="00535F12">
      <w:pPr>
        <w:ind w:left="360"/>
        <w:rPr>
          <w:b/>
          <w:sz w:val="32"/>
          <w:szCs w:val="32"/>
        </w:rPr>
      </w:pPr>
      <w:r w:rsidRPr="00A577C9">
        <w:rPr>
          <w:b/>
          <w:sz w:val="32"/>
          <w:szCs w:val="32"/>
        </w:rPr>
        <w:t>I</w:t>
      </w:r>
      <w:r w:rsidR="00535F12">
        <w:rPr>
          <w:b/>
          <w:sz w:val="32"/>
          <w:szCs w:val="32"/>
        </w:rPr>
        <w:t xml:space="preserve">I </w:t>
      </w:r>
      <w:r w:rsidRPr="00A577C9">
        <w:rPr>
          <w:b/>
          <w:sz w:val="32"/>
          <w:szCs w:val="32"/>
        </w:rPr>
        <w:t>Voldoen aan Wet Big/tuchtrecht</w:t>
      </w:r>
    </w:p>
    <w:p w14:paraId="593EFC84" w14:textId="77777777" w:rsidR="00936337" w:rsidRPr="0031710E" w:rsidRDefault="00936337" w:rsidP="00936337">
      <w:pPr>
        <w:pStyle w:val="Lijstalinea"/>
        <w:numPr>
          <w:ilvl w:val="0"/>
          <w:numId w:val="15"/>
        </w:numPr>
        <w:rPr>
          <w:b/>
          <w:color w:val="00B0F0"/>
          <w:sz w:val="24"/>
          <w:szCs w:val="24"/>
        </w:rPr>
      </w:pPr>
      <w:r>
        <w:rPr>
          <w:b/>
          <w:color w:val="00B0F0"/>
          <w:sz w:val="24"/>
          <w:szCs w:val="24"/>
        </w:rPr>
        <w:t>Hoe zit het met voorbehouden handelingen?</w:t>
      </w:r>
      <w:r>
        <w:rPr>
          <w:b/>
          <w:color w:val="00B0F0"/>
          <w:sz w:val="24"/>
          <w:szCs w:val="24"/>
        </w:rPr>
        <w:br/>
      </w:r>
      <w:r>
        <w:t xml:space="preserve">De Wet Big regelt dat een aantal handelingen is voorbehouden aan bepaalde beroepsbeoefenaren. Voorbeelden zijn: - heelkundige handelingen; </w:t>
      </w:r>
      <w:r w:rsidR="00E00747">
        <w:t xml:space="preserve">- </w:t>
      </w:r>
      <w:r>
        <w:t xml:space="preserve">verloskundige handelingen; - puncties; - katheterisaties; - en het voorschijven van UR-geneesmiddelen. Gynaecologen en verloskundigen hebben een </w:t>
      </w:r>
      <w:r w:rsidRPr="00D77412">
        <w:rPr>
          <w:i/>
        </w:rPr>
        <w:t>zelfstandige bevoegdheid</w:t>
      </w:r>
      <w:r>
        <w:t xml:space="preserve"> tot het verrichten van de aan hen voorbehouden handelingen en beslissen hiertoe zelf.</w:t>
      </w:r>
      <w:r w:rsidRPr="00A92648">
        <w:t xml:space="preserve"> </w:t>
      </w:r>
    </w:p>
    <w:p w14:paraId="606A3150" w14:textId="77777777" w:rsidR="00936337" w:rsidRPr="0031710E" w:rsidRDefault="00936337" w:rsidP="00936337">
      <w:pPr>
        <w:pStyle w:val="Lijstalinea"/>
        <w:rPr>
          <w:b/>
          <w:color w:val="00B0F0"/>
          <w:sz w:val="24"/>
          <w:szCs w:val="24"/>
        </w:rPr>
      </w:pPr>
    </w:p>
    <w:p w14:paraId="64F2B056" w14:textId="77777777" w:rsidR="00936337" w:rsidRPr="0031710E" w:rsidRDefault="00936337" w:rsidP="00936337">
      <w:pPr>
        <w:pStyle w:val="Lijstalinea"/>
        <w:numPr>
          <w:ilvl w:val="0"/>
          <w:numId w:val="15"/>
        </w:numPr>
        <w:rPr>
          <w:b/>
          <w:color w:val="00B0F0"/>
          <w:sz w:val="24"/>
          <w:szCs w:val="24"/>
        </w:rPr>
      </w:pPr>
      <w:r>
        <w:rPr>
          <w:b/>
          <w:color w:val="00B0F0"/>
          <w:sz w:val="24"/>
          <w:szCs w:val="24"/>
        </w:rPr>
        <w:t>Hoe zit het verder met voorbehouden handelingen?</w:t>
      </w:r>
    </w:p>
    <w:p w14:paraId="0F09B68B" w14:textId="4E1CFF2B" w:rsidR="00936337" w:rsidRPr="00DA3599" w:rsidRDefault="00936337" w:rsidP="00DA3599">
      <w:pPr>
        <w:pStyle w:val="Lijstalinea"/>
        <w:rPr>
          <w:b/>
          <w:color w:val="00B0F0"/>
          <w:sz w:val="24"/>
          <w:szCs w:val="24"/>
        </w:rPr>
      </w:pPr>
      <w:r>
        <w:t>Een geboortezorgprofessional die zelfstandig bevoegd is om een voorbehouden handeling te verrichten moet bekwaam zijn. G</w:t>
      </w:r>
      <w:r w:rsidR="00631204">
        <w:t>éé</w:t>
      </w:r>
      <w:r>
        <w:t>n bekwaamheid betekent g</w:t>
      </w:r>
      <w:r w:rsidR="00631204">
        <w:t>éé</w:t>
      </w:r>
      <w:r>
        <w:t xml:space="preserve">n bevoegdheid. Anderen dan de aangewezen geboortezorgprofessionals kunnen </w:t>
      </w:r>
      <w:r w:rsidRPr="00CF5344">
        <w:rPr>
          <w:i/>
        </w:rPr>
        <w:t>in opdracht</w:t>
      </w:r>
      <w:r>
        <w:t xml:space="preserve"> van een zelfstandig bevoegde geboortezorg professional een voorbehouden handeling verrichten.</w:t>
      </w:r>
      <w:r w:rsidR="00C40CA7">
        <w:t xml:space="preserve"> </w:t>
      </w:r>
      <w:r w:rsidR="00C73F74" w:rsidRPr="00D73523">
        <w:t>Hiervoor gelden</w:t>
      </w:r>
      <w:r w:rsidR="005D6745" w:rsidRPr="00D73523">
        <w:t xml:space="preserve"> specifieke</w:t>
      </w:r>
      <w:r w:rsidR="00C73F74" w:rsidRPr="00D73523">
        <w:t xml:space="preserve"> delegatie- en acceptatiecriteria van de Wet Big.</w:t>
      </w:r>
      <w:r w:rsidR="00DA3599">
        <w:br/>
      </w:r>
    </w:p>
    <w:p w14:paraId="327978B4" w14:textId="0AB4C526" w:rsidR="00E571C1" w:rsidRPr="00E571C1" w:rsidRDefault="00936337" w:rsidP="00E571C1">
      <w:pPr>
        <w:pStyle w:val="Lijstalinea"/>
        <w:numPr>
          <w:ilvl w:val="0"/>
          <w:numId w:val="15"/>
        </w:numPr>
        <w:rPr>
          <w:b/>
          <w:color w:val="00B0F0"/>
          <w:sz w:val="24"/>
          <w:szCs w:val="24"/>
        </w:rPr>
      </w:pPr>
      <w:r>
        <w:rPr>
          <w:b/>
          <w:color w:val="00B0F0"/>
          <w:sz w:val="24"/>
          <w:szCs w:val="24"/>
        </w:rPr>
        <w:t xml:space="preserve">Hoe zit het met </w:t>
      </w:r>
      <w:r w:rsidRPr="00AB3567">
        <w:rPr>
          <w:b/>
          <w:color w:val="00B0F0"/>
          <w:sz w:val="24"/>
          <w:szCs w:val="24"/>
          <w:u w:val="single"/>
        </w:rPr>
        <w:t xml:space="preserve">niet </w:t>
      </w:r>
      <w:r>
        <w:rPr>
          <w:b/>
          <w:color w:val="00B0F0"/>
          <w:sz w:val="24"/>
          <w:szCs w:val="24"/>
        </w:rPr>
        <w:t>voorbehouden handelingen?</w:t>
      </w:r>
      <w:r>
        <w:rPr>
          <w:b/>
          <w:color w:val="00B0F0"/>
          <w:sz w:val="24"/>
          <w:szCs w:val="24"/>
        </w:rPr>
        <w:br/>
      </w:r>
      <w:r>
        <w:t xml:space="preserve">Alle geboortezorgprofessionals kunnen </w:t>
      </w:r>
      <w:r w:rsidR="00CE4D62">
        <w:t xml:space="preserve">en mogen </w:t>
      </w:r>
      <w:r>
        <w:t>een niet voorbehouden handeling verrichten. Net zoals bij voorbehouden handelingen is bekwaamheid cruciaal bij het uitvoeren van niet-voorbehouden handelingen.</w:t>
      </w:r>
    </w:p>
    <w:p w14:paraId="3BB06B0E" w14:textId="77777777" w:rsidR="00FE170B" w:rsidRDefault="00FE170B" w:rsidP="00CE4D62"/>
    <w:p w14:paraId="7A07BFF0" w14:textId="77777777" w:rsidR="00936337" w:rsidRPr="00AE0850" w:rsidRDefault="00936337" w:rsidP="00936337">
      <w:pPr>
        <w:pStyle w:val="Lijstalinea"/>
        <w:numPr>
          <w:ilvl w:val="0"/>
          <w:numId w:val="15"/>
        </w:numPr>
        <w:rPr>
          <w:b/>
          <w:color w:val="00B0F0"/>
          <w:sz w:val="24"/>
          <w:szCs w:val="24"/>
        </w:rPr>
      </w:pPr>
      <w:r w:rsidRPr="00AE0850">
        <w:rPr>
          <w:b/>
          <w:color w:val="00B0F0"/>
          <w:sz w:val="24"/>
          <w:szCs w:val="24"/>
        </w:rPr>
        <w:t>Hoe wordt</w:t>
      </w:r>
      <w:r>
        <w:rPr>
          <w:b/>
          <w:color w:val="00B0F0"/>
          <w:sz w:val="24"/>
          <w:szCs w:val="24"/>
        </w:rPr>
        <w:t xml:space="preserve"> bij tuchtrecht</w:t>
      </w:r>
      <w:r w:rsidRPr="00AE0850">
        <w:rPr>
          <w:b/>
          <w:color w:val="00B0F0"/>
          <w:sz w:val="24"/>
          <w:szCs w:val="24"/>
        </w:rPr>
        <w:t xml:space="preserve"> getoetst of een geboortezorgprofessional goed heeft gehandeld?</w:t>
      </w:r>
    </w:p>
    <w:p w14:paraId="165B61D0" w14:textId="77777777" w:rsidR="00936337" w:rsidRDefault="00936337" w:rsidP="00936337">
      <w:pPr>
        <w:pStyle w:val="Lijstalinea"/>
      </w:pPr>
      <w:r>
        <w:t>Voor geboortezorgprofessionals voor wie tuchtrecht geldt, worden twee tuchtnormen gehanteerd:</w:t>
      </w:r>
    </w:p>
    <w:p w14:paraId="4AC41359" w14:textId="1CB3EB9D" w:rsidR="00936337" w:rsidRDefault="00936337" w:rsidP="00E03814">
      <w:pPr>
        <w:pStyle w:val="Lijstalinea"/>
        <w:numPr>
          <w:ilvl w:val="0"/>
          <w:numId w:val="18"/>
        </w:numPr>
      </w:pPr>
      <w:r>
        <w:t>Een handelen of nalaten in strijd met de zorg die hij</w:t>
      </w:r>
      <w:r w:rsidR="004D0AB9" w:rsidRPr="00CE4D62">
        <w:t>/zij</w:t>
      </w:r>
      <w:r w:rsidRPr="00CE4D62">
        <w:t xml:space="preserve"> </w:t>
      </w:r>
      <w:r>
        <w:t>hoort te verlenen ten opzichte van de zwangere.</w:t>
      </w:r>
    </w:p>
    <w:p w14:paraId="5F270C4E" w14:textId="77777777" w:rsidR="00936337" w:rsidRDefault="00936337" w:rsidP="00936337">
      <w:pPr>
        <w:pStyle w:val="Lijstalinea"/>
        <w:numPr>
          <w:ilvl w:val="0"/>
          <w:numId w:val="18"/>
        </w:numPr>
      </w:pPr>
      <w:r>
        <w:t>Een ander handelen of nalaten in strijd met het belang van een goede uitoefening van de individuele gezondheidszorg.</w:t>
      </w:r>
    </w:p>
    <w:p w14:paraId="780FF768" w14:textId="77777777" w:rsidR="00936337" w:rsidRDefault="00936337" w:rsidP="00936337">
      <w:pPr>
        <w:ind w:left="720"/>
      </w:pPr>
      <w:r>
        <w:lastRenderedPageBreak/>
        <w:t>Met de tweede tuchtnorm kan een tuchtcollege een geboortezorgprofessional een maatregel opleggen als de organisatie van de geboortezorg een gebrek vertoont.</w:t>
      </w:r>
    </w:p>
    <w:p w14:paraId="17934047" w14:textId="77777777" w:rsidR="00936337" w:rsidRDefault="00936337" w:rsidP="00936337"/>
    <w:p w14:paraId="0715A210" w14:textId="77777777" w:rsidR="00936337" w:rsidRPr="00880173" w:rsidRDefault="00936337" w:rsidP="00936337">
      <w:pPr>
        <w:pStyle w:val="Lijstalinea"/>
        <w:numPr>
          <w:ilvl w:val="0"/>
          <w:numId w:val="15"/>
        </w:numPr>
        <w:rPr>
          <w:b/>
          <w:color w:val="00B0F0"/>
          <w:sz w:val="24"/>
          <w:szCs w:val="24"/>
        </w:rPr>
      </w:pPr>
      <w:r w:rsidRPr="00880173">
        <w:rPr>
          <w:b/>
          <w:color w:val="00B0F0"/>
          <w:sz w:val="24"/>
          <w:szCs w:val="24"/>
        </w:rPr>
        <w:t>Wat is de professionele standaard en ma</w:t>
      </w:r>
      <w:r>
        <w:rPr>
          <w:b/>
          <w:color w:val="00B0F0"/>
          <w:sz w:val="24"/>
          <w:szCs w:val="24"/>
        </w:rPr>
        <w:t>g</w:t>
      </w:r>
      <w:r w:rsidRPr="00880173">
        <w:rPr>
          <w:b/>
          <w:color w:val="00B0F0"/>
          <w:sz w:val="24"/>
          <w:szCs w:val="24"/>
        </w:rPr>
        <w:t xml:space="preserve"> je hiervan afwijken?</w:t>
      </w:r>
    </w:p>
    <w:p w14:paraId="63F6F11D" w14:textId="0A960E74" w:rsidR="00936337" w:rsidRDefault="00936337" w:rsidP="00E571C1">
      <w:pPr>
        <w:pStyle w:val="Lijstalinea"/>
      </w:pPr>
      <w:r>
        <w:t xml:space="preserve">De professionele standaard is vastgelegd in de zorgstandaard integrale geboortezorg, andere standaarden, protocollen, richtlijnen, gedragsregels en dergelijke. In juridische uitspraken is vastgelegd dat een professional mag of zelfs moet afwijken van de professionele standaard, als dat in het belang van de patiënt is. Lokale afspraken kunnen ook een kader zijn voor de inhoud van de geboortezorg. </w:t>
      </w:r>
      <w:r w:rsidR="00BF5207" w:rsidRPr="00BF5207">
        <w:t xml:space="preserve">Hiervan kan </w:t>
      </w:r>
      <w:r w:rsidRPr="00BF5207">
        <w:t>beargumenteerd worden afgeweken als een individuele geboortezorgprofessional niet de zorg van een goed hulpverlener in acht kan nemen zonder afwijking van de lokale afspraken.</w:t>
      </w:r>
      <w:r>
        <w:t xml:space="preserve"> Een geboortezorgprofessional bespreekt </w:t>
      </w:r>
      <w:r w:rsidR="00183913">
        <w:t xml:space="preserve">een </w:t>
      </w:r>
      <w:r>
        <w:t>afwijking van landelijk</w:t>
      </w:r>
      <w:r w:rsidR="00183913">
        <w:t>e</w:t>
      </w:r>
      <w:r>
        <w:t xml:space="preserve"> richtlijnen of lokale afspraken met de zwangere en maakt een aantekening hiervan in het medisch dossier.</w:t>
      </w:r>
      <w:r>
        <w:br/>
      </w:r>
    </w:p>
    <w:p w14:paraId="138CD34F" w14:textId="77777777" w:rsidR="00936337" w:rsidRDefault="00936337" w:rsidP="00936337">
      <w:pPr>
        <w:pStyle w:val="Lijstalinea"/>
        <w:numPr>
          <w:ilvl w:val="0"/>
          <w:numId w:val="15"/>
        </w:numPr>
        <w:rPr>
          <w:b/>
          <w:color w:val="00B0F0"/>
          <w:sz w:val="24"/>
          <w:szCs w:val="24"/>
        </w:rPr>
      </w:pPr>
      <w:r>
        <w:rPr>
          <w:b/>
          <w:color w:val="00B0F0"/>
          <w:sz w:val="24"/>
          <w:szCs w:val="24"/>
        </w:rPr>
        <w:t>Is er voor een geboortezorgprofessional sprake van een gezamenlijke aansprakelijkheid?</w:t>
      </w:r>
    </w:p>
    <w:p w14:paraId="1C933526" w14:textId="2F6D962B" w:rsidR="00936337" w:rsidRDefault="00936337" w:rsidP="00936337">
      <w:pPr>
        <w:pStyle w:val="Lijstalinea"/>
      </w:pPr>
      <w:r>
        <w:t xml:space="preserve">Nee, het is zeer onwaarschijnlijk dat een geboortezorgprofessional die samenwerkt in het kader van integrale geboortezorg daarvoor aansprakelijk wordt gesteld voor het handelen of nalaten van een andere geboortezorgprofessional. Tuchtrechtelijk gezien is er voor de geboortezorgprofessionals </w:t>
      </w:r>
      <w:r w:rsidRPr="00886B22">
        <w:rPr>
          <w:i/>
        </w:rPr>
        <w:t>géén gezamenlijke aansprakelijkheid</w:t>
      </w:r>
      <w:r>
        <w:t xml:space="preserve"> voor de inhoud van de zorgverlening aan de</w:t>
      </w:r>
      <w:r w:rsidR="00D911E8">
        <w:t xml:space="preserve"> </w:t>
      </w:r>
      <w:r>
        <w:t>zwangere.</w:t>
      </w:r>
      <w:r w:rsidR="00CE4D62">
        <w:t xml:space="preserve"> </w:t>
      </w:r>
      <w:r>
        <w:br/>
      </w:r>
    </w:p>
    <w:p w14:paraId="566AB62A" w14:textId="5911F352" w:rsidR="00936337" w:rsidRPr="00C8495D" w:rsidRDefault="00936337" w:rsidP="00936337">
      <w:pPr>
        <w:pStyle w:val="Lijstalinea"/>
        <w:rPr>
          <w:b/>
          <w:color w:val="00B0F0"/>
          <w:sz w:val="24"/>
          <w:szCs w:val="24"/>
        </w:rPr>
      </w:pPr>
      <w:r>
        <w:t xml:space="preserve">Uitgangspunt is dat </w:t>
      </w:r>
      <w:r w:rsidR="00520FCC">
        <w:t>i</w:t>
      </w:r>
      <w:r>
        <w:t xml:space="preserve">edere geboortezorgprofessional aansprakelijk is voor het eigen handelen of nalaten. Dit uitgangspunt geldt ook als geboortezorgprofessionals samenwerken. Wanneer een </w:t>
      </w:r>
      <w:r w:rsidRPr="005612F3">
        <w:t>zwangere</w:t>
      </w:r>
      <w:r w:rsidR="00CE4D62" w:rsidRPr="005612F3">
        <w:t>/</w:t>
      </w:r>
      <w:r w:rsidR="000C29CF" w:rsidRPr="005612F3">
        <w:t>moeder</w:t>
      </w:r>
      <w:r w:rsidRPr="005612F3">
        <w:t xml:space="preserve"> </w:t>
      </w:r>
      <w:r>
        <w:t>een klacht indient tegen een aantal geboortezorgprofessionals</w:t>
      </w:r>
      <w:r w:rsidR="006F5A46">
        <w:t xml:space="preserve"> - ook in de situatie dat deze vermeend niet of onvoldoende hebben samengewerkt -</w:t>
      </w:r>
      <w:r>
        <w:t xml:space="preserve">, dan </w:t>
      </w:r>
      <w:r w:rsidR="00583B52" w:rsidRPr="00D73523">
        <w:t>is er</w:t>
      </w:r>
      <w:r w:rsidRPr="00D73523">
        <w:t xml:space="preserve"> voor </w:t>
      </w:r>
      <w:r>
        <w:t xml:space="preserve">elke geboortezorgprofessional een </w:t>
      </w:r>
      <w:r w:rsidRPr="00800BA0">
        <w:rPr>
          <w:i/>
        </w:rPr>
        <w:t>afzonderlijk oordeel</w:t>
      </w:r>
      <w:r>
        <w:t xml:space="preserve"> over het handelen of nalaten.</w:t>
      </w:r>
      <w:r>
        <w:br/>
      </w:r>
    </w:p>
    <w:p w14:paraId="56DB4E69" w14:textId="7A196059" w:rsidR="00936337" w:rsidRDefault="00936337" w:rsidP="00936337">
      <w:pPr>
        <w:pStyle w:val="Lijstalinea"/>
        <w:numPr>
          <w:ilvl w:val="0"/>
          <w:numId w:val="15"/>
        </w:numPr>
        <w:rPr>
          <w:b/>
          <w:color w:val="00B0F0"/>
          <w:sz w:val="24"/>
          <w:szCs w:val="24"/>
        </w:rPr>
      </w:pPr>
      <w:r>
        <w:rPr>
          <w:b/>
          <w:color w:val="00B0F0"/>
          <w:sz w:val="24"/>
          <w:szCs w:val="24"/>
        </w:rPr>
        <w:t xml:space="preserve">Is er gezamenlijke aansprakelijkheid </w:t>
      </w:r>
      <w:r w:rsidR="00E13866">
        <w:rPr>
          <w:b/>
          <w:color w:val="00B0F0"/>
          <w:sz w:val="24"/>
          <w:szCs w:val="24"/>
        </w:rPr>
        <w:t>bij</w:t>
      </w:r>
      <w:r>
        <w:rPr>
          <w:b/>
          <w:color w:val="00B0F0"/>
          <w:sz w:val="24"/>
          <w:szCs w:val="24"/>
        </w:rPr>
        <w:t xml:space="preserve"> een coördinerend </w:t>
      </w:r>
      <w:r w:rsidR="00CE4D62">
        <w:rPr>
          <w:b/>
          <w:color w:val="00B0F0"/>
          <w:sz w:val="24"/>
          <w:szCs w:val="24"/>
        </w:rPr>
        <w:t>zorgverlener</w:t>
      </w:r>
      <w:r>
        <w:rPr>
          <w:b/>
          <w:color w:val="00B0F0"/>
          <w:sz w:val="24"/>
          <w:szCs w:val="24"/>
        </w:rPr>
        <w:t>?</w:t>
      </w:r>
    </w:p>
    <w:p w14:paraId="365BF43A" w14:textId="1ADD49CA" w:rsidR="00936337" w:rsidRDefault="00936337" w:rsidP="00936337">
      <w:pPr>
        <w:pStyle w:val="Lijstalinea"/>
        <w:rPr>
          <w:b/>
          <w:color w:val="00B0F0"/>
          <w:sz w:val="24"/>
          <w:szCs w:val="24"/>
        </w:rPr>
      </w:pPr>
      <w:r>
        <w:t xml:space="preserve">Ook als samenwerkende geboortezorgprofessionals een van hen aanwijzen als coördinerend geboortezorgprofessional </w:t>
      </w:r>
      <w:r w:rsidR="00743334">
        <w:t>die</w:t>
      </w:r>
      <w:r>
        <w:t xml:space="preserve"> daarmee aanspreekpunt voor de zwangere</w:t>
      </w:r>
      <w:r w:rsidR="00743334">
        <w:t xml:space="preserve"> is</w:t>
      </w:r>
      <w:r>
        <w:t>, dan blijven de geboortezorgprofessionals ieder voor zich aansprakelijk voor het eigen handelen of nalaten.</w:t>
      </w:r>
      <w:r w:rsidR="00CB46E8">
        <w:t xml:space="preserve"> Aandachtspunt </w:t>
      </w:r>
      <w:r w:rsidR="00D1194D">
        <w:t xml:space="preserve">hierbij is </w:t>
      </w:r>
      <w:r w:rsidR="00CB46E8">
        <w:t>hoe een geboortezorgprofessional omgaat met de situatie dat hij/zij niet of niet tijdig</w:t>
      </w:r>
      <w:r w:rsidR="00D1194D">
        <w:t xml:space="preserve"> informatie krijgt van de coördinerend zorgverlener.</w:t>
      </w:r>
    </w:p>
    <w:p w14:paraId="3725ED5D" w14:textId="77777777" w:rsidR="00535F12" w:rsidRDefault="00535F12" w:rsidP="00E571C1">
      <w:pPr>
        <w:ind w:left="360"/>
        <w:rPr>
          <w:b/>
          <w:sz w:val="32"/>
          <w:szCs w:val="32"/>
        </w:rPr>
      </w:pPr>
    </w:p>
    <w:p w14:paraId="6F5F42BA" w14:textId="669198B0" w:rsidR="00E571C1" w:rsidRPr="00535F12" w:rsidRDefault="00E571C1" w:rsidP="00535F12">
      <w:pPr>
        <w:ind w:left="360"/>
        <w:rPr>
          <w:b/>
          <w:sz w:val="32"/>
          <w:szCs w:val="32"/>
        </w:rPr>
      </w:pPr>
      <w:r w:rsidRPr="00A577C9">
        <w:rPr>
          <w:b/>
          <w:sz w:val="32"/>
          <w:szCs w:val="32"/>
        </w:rPr>
        <w:t>I</w:t>
      </w:r>
      <w:r w:rsidR="00535F12">
        <w:rPr>
          <w:b/>
          <w:sz w:val="32"/>
          <w:szCs w:val="32"/>
        </w:rPr>
        <w:t>II</w:t>
      </w:r>
      <w:r w:rsidRPr="00A577C9">
        <w:rPr>
          <w:b/>
          <w:sz w:val="32"/>
          <w:szCs w:val="32"/>
        </w:rPr>
        <w:t xml:space="preserve"> Voldoen aan de </w:t>
      </w:r>
      <w:proofErr w:type="spellStart"/>
      <w:r w:rsidRPr="00A577C9">
        <w:rPr>
          <w:b/>
          <w:sz w:val="32"/>
          <w:szCs w:val="32"/>
        </w:rPr>
        <w:t>Wkkgz</w:t>
      </w:r>
      <w:proofErr w:type="spellEnd"/>
    </w:p>
    <w:p w14:paraId="348FCB17" w14:textId="77777777" w:rsidR="00E571C1" w:rsidRPr="00AE0850" w:rsidRDefault="00E571C1" w:rsidP="00E571C1">
      <w:pPr>
        <w:pStyle w:val="Lijstalinea"/>
        <w:numPr>
          <w:ilvl w:val="0"/>
          <w:numId w:val="15"/>
        </w:numPr>
        <w:rPr>
          <w:b/>
          <w:color w:val="00B0F0"/>
          <w:sz w:val="24"/>
          <w:szCs w:val="24"/>
        </w:rPr>
      </w:pPr>
      <w:r w:rsidRPr="00AE0850">
        <w:rPr>
          <w:b/>
          <w:color w:val="00B0F0"/>
          <w:sz w:val="24"/>
          <w:szCs w:val="24"/>
        </w:rPr>
        <w:t>Hoe wordt</w:t>
      </w:r>
      <w:r>
        <w:rPr>
          <w:b/>
          <w:color w:val="00B0F0"/>
          <w:sz w:val="24"/>
          <w:szCs w:val="24"/>
        </w:rPr>
        <w:t xml:space="preserve"> in algemene zin</w:t>
      </w:r>
      <w:r w:rsidRPr="00AE0850">
        <w:rPr>
          <w:b/>
          <w:color w:val="00B0F0"/>
          <w:sz w:val="24"/>
          <w:szCs w:val="24"/>
        </w:rPr>
        <w:t xml:space="preserve"> getoetst of een geboortezorgprofessional goed heeft gehandeld?</w:t>
      </w:r>
    </w:p>
    <w:p w14:paraId="0B6EF791" w14:textId="77777777" w:rsidR="00E571C1" w:rsidRDefault="00E571C1" w:rsidP="00E571C1">
      <w:pPr>
        <w:pStyle w:val="Lijstalinea"/>
        <w:rPr>
          <w:i/>
        </w:rPr>
      </w:pPr>
      <w:r>
        <w:t xml:space="preserve">De Wkkgz schrijft voor dat geboortezorgprofessionals </w:t>
      </w:r>
      <w:r w:rsidRPr="00467778">
        <w:t>goede zorg</w:t>
      </w:r>
      <w:r>
        <w:t xml:space="preserve"> moeten bieden. Geboortezorg-professionals zijn verplicht om de kwaliteit van de verleende geboortezorg op een systematische wijze te registreren, te toetsen en op basis daarvan de geboortezorg te verbeteren. </w:t>
      </w:r>
      <w:r>
        <w:br/>
      </w:r>
      <w:r>
        <w:br/>
        <w:t xml:space="preserve">In algemene zin gaat het om het volgende: </w:t>
      </w:r>
      <w:r w:rsidRPr="009A5305">
        <w:rPr>
          <w:i/>
        </w:rPr>
        <w:t xml:space="preserve">“De geboortezorgprofessional voldoet aan goed hulpverlenerschap. De zorg moet zijn </w:t>
      </w:r>
      <w:r w:rsidRPr="00D73523">
        <w:rPr>
          <w:i/>
        </w:rPr>
        <w:t xml:space="preserve">verleend op een wijze die </w:t>
      </w:r>
      <w:r w:rsidRPr="009A5305">
        <w:rPr>
          <w:i/>
        </w:rPr>
        <w:t>de redelijk bekwaam en handelend vakgenoot in dezelfde omstandigheden zou hebben betracht. De professional moet handelen overeenkomstig de professionele standaard van de eigen beroepsgroep.“</w:t>
      </w:r>
      <w:r>
        <w:rPr>
          <w:i/>
        </w:rPr>
        <w:t xml:space="preserve"> </w:t>
      </w:r>
    </w:p>
    <w:p w14:paraId="065D203A" w14:textId="37DFA298" w:rsidR="00E571C1" w:rsidRDefault="00E571C1" w:rsidP="00936337">
      <w:pPr>
        <w:rPr>
          <w:b/>
          <w:color w:val="00B0F0"/>
          <w:sz w:val="24"/>
          <w:szCs w:val="24"/>
        </w:rPr>
      </w:pPr>
    </w:p>
    <w:p w14:paraId="196D72F8" w14:textId="3F299594" w:rsidR="00D73523" w:rsidRPr="00535F12" w:rsidRDefault="00D73523" w:rsidP="00936337">
      <w:pPr>
        <w:pStyle w:val="Lijstalinea"/>
        <w:numPr>
          <w:ilvl w:val="0"/>
          <w:numId w:val="15"/>
        </w:numPr>
        <w:rPr>
          <w:b/>
          <w:color w:val="00B0F0"/>
          <w:sz w:val="24"/>
          <w:szCs w:val="24"/>
        </w:rPr>
      </w:pPr>
      <w:r w:rsidRPr="00DD4098">
        <w:rPr>
          <w:b/>
          <w:color w:val="00B0F0"/>
          <w:sz w:val="24"/>
          <w:szCs w:val="24"/>
        </w:rPr>
        <w:lastRenderedPageBreak/>
        <w:t>Wat doet de inspectie?</w:t>
      </w:r>
      <w:r w:rsidRPr="00DD4098">
        <w:rPr>
          <w:b/>
          <w:color w:val="00B0F0"/>
          <w:sz w:val="24"/>
          <w:szCs w:val="24"/>
        </w:rPr>
        <w:br/>
      </w:r>
      <w:r w:rsidRPr="00DD4098">
        <w:t xml:space="preserve">De inspectie gezondheidszorg en jeugd (IGJ) houdt toezicht op de kwaliteit en veiligheid van de geboortezorg. IGJ kijkt daarbij naar alle zorgaanbieders die betrokken zijn bij de geboortezorg. Hierin staat het terugdringen van risico’s voor moeder en kind voorop: tijdens de zwangerschap, de bevalling en de kraamperiode. Het uitgangspunt voor het toezicht door IGJ zijn wetten zoals </w:t>
      </w:r>
      <w:proofErr w:type="spellStart"/>
      <w:r w:rsidRPr="00DD4098">
        <w:t>Wkkgz</w:t>
      </w:r>
      <w:proofErr w:type="spellEnd"/>
      <w:r w:rsidRPr="00DD4098">
        <w:t xml:space="preserve"> en Wet Big. IGJ toetst de zorgverleners aan: - de zorgstandaard integrale geboortezorg; - het advies </w:t>
      </w:r>
      <w:r w:rsidRPr="00DD4098">
        <w:rPr>
          <w:i/>
        </w:rPr>
        <w:t>Een goed begin</w:t>
      </w:r>
      <w:r w:rsidRPr="00DD4098">
        <w:t xml:space="preserve"> van de stuurgroep zwangerschap en geboorte; - en de praktische uitwerking die de beroepsgroepen aan wet- en regelgeving geven in hun richtlijnen.</w:t>
      </w:r>
    </w:p>
    <w:p w14:paraId="1C3AB36A" w14:textId="3A47536A" w:rsidR="00936337" w:rsidRDefault="00936337" w:rsidP="00936337"/>
    <w:p w14:paraId="6E1DF6C0" w14:textId="20F971AB" w:rsidR="00520FCC" w:rsidRPr="00535F12" w:rsidRDefault="00520FCC" w:rsidP="00535F12">
      <w:pPr>
        <w:ind w:left="360"/>
        <w:rPr>
          <w:b/>
          <w:sz w:val="32"/>
          <w:szCs w:val="32"/>
        </w:rPr>
      </w:pPr>
      <w:r w:rsidRPr="00A577C9">
        <w:rPr>
          <w:b/>
          <w:sz w:val="32"/>
          <w:szCs w:val="32"/>
        </w:rPr>
        <w:t>IV Slot</w:t>
      </w:r>
      <w:bookmarkStart w:id="2" w:name="_Hlk12007435"/>
    </w:p>
    <w:p w14:paraId="13019BDD" w14:textId="54C6EA79" w:rsidR="00936337" w:rsidRDefault="00936337" w:rsidP="00936337">
      <w:pPr>
        <w:pStyle w:val="Lijstalinea"/>
        <w:numPr>
          <w:ilvl w:val="0"/>
          <w:numId w:val="15"/>
        </w:numPr>
        <w:rPr>
          <w:b/>
          <w:color w:val="00B0F0"/>
          <w:sz w:val="24"/>
          <w:szCs w:val="24"/>
        </w:rPr>
      </w:pPr>
      <w:r>
        <w:rPr>
          <w:b/>
          <w:color w:val="00B0F0"/>
          <w:sz w:val="24"/>
          <w:szCs w:val="24"/>
        </w:rPr>
        <w:t>Hoe ga ik om met risico op aansprakelijkheid?</w:t>
      </w:r>
      <w:bookmarkEnd w:id="2"/>
    </w:p>
    <w:p w14:paraId="2A2A029B" w14:textId="2E9D139D" w:rsidR="00706BF9" w:rsidRPr="00D73523" w:rsidRDefault="005B5B03" w:rsidP="00786D52">
      <w:pPr>
        <w:spacing w:after="200"/>
        <w:ind w:left="709"/>
      </w:pPr>
      <w:r w:rsidRPr="00D73523">
        <w:t xml:space="preserve">Hoe hoger de </w:t>
      </w:r>
      <w:r w:rsidR="00936337" w:rsidRPr="00D73523">
        <w:t xml:space="preserve">kwaliteit van de zorg </w:t>
      </w:r>
      <w:r w:rsidRPr="00D73523">
        <w:t xml:space="preserve">hoe lager </w:t>
      </w:r>
      <w:r w:rsidR="00936337" w:rsidRPr="00D73523">
        <w:t>het risico op aansprakelijkheid. Verder zijn preventie en verwachting</w:t>
      </w:r>
      <w:r w:rsidRPr="00D73523">
        <w:t xml:space="preserve"> </w:t>
      </w:r>
      <w:r w:rsidR="00936337" w:rsidRPr="00D73523">
        <w:t>management belangrijk</w:t>
      </w:r>
      <w:r w:rsidR="00706BF9" w:rsidRPr="00D73523">
        <w:t xml:space="preserve">. </w:t>
      </w:r>
      <w:r w:rsidR="00786D52" w:rsidRPr="00D73523">
        <w:t xml:space="preserve">Zorgaanbieders hebben hiervoor een </w:t>
      </w:r>
      <w:r w:rsidR="00960751" w:rsidRPr="00D73523">
        <w:t>beroeps</w:t>
      </w:r>
      <w:r w:rsidR="003042F0" w:rsidRPr="00D73523">
        <w:t>- en bedrijfs</w:t>
      </w:r>
      <w:r w:rsidR="00960751" w:rsidRPr="00D73523">
        <w:t>aansprakelijkheidsverzekering</w:t>
      </w:r>
      <w:r w:rsidRPr="00D73523">
        <w:t xml:space="preserve"> gesloten</w:t>
      </w:r>
      <w:r w:rsidR="00C43B73" w:rsidRPr="00D73523">
        <w:t xml:space="preserve"> en voor tuchtrecht eventueel </w:t>
      </w:r>
      <w:r w:rsidR="00DC4349" w:rsidRPr="00D73523">
        <w:t>aangevuld met een rechtsbijstandsverzekering.</w:t>
      </w:r>
    </w:p>
    <w:p w14:paraId="5F4A73F8" w14:textId="2574A7BA" w:rsidR="00BA1554" w:rsidRPr="00D73523" w:rsidRDefault="005B5B03" w:rsidP="007A5622">
      <w:pPr>
        <w:spacing w:after="200"/>
        <w:ind w:left="709"/>
      </w:pPr>
      <w:r w:rsidRPr="00D73523">
        <w:t>Voor IGO’s, zijnde rechtspersonen is het raadzaam dat zij voor risico’s die voortvloeien uit samenwerking een aansprakelijkheidsverzekering mogelijk aangevuld met een rechtsbijstands</w:t>
      </w:r>
      <w:r w:rsidR="00520FCC" w:rsidRPr="00D73523">
        <w:t>-</w:t>
      </w:r>
      <w:r w:rsidRPr="00D73523">
        <w:t xml:space="preserve">verzekering afsluiten. Afhankelijk van de feiten en omstandigheden kunnen dergelijke verzekeringen gewenst zijn voor VSV’s die rechtspersoon zijn. Voor een VSV die feitelijk een IGO </w:t>
      </w:r>
      <w:r w:rsidR="007A5622" w:rsidRPr="00D73523">
        <w:t>in oprichting</w:t>
      </w:r>
      <w:r w:rsidRPr="00D73523">
        <w:t xml:space="preserve"> is</w:t>
      </w:r>
      <w:r w:rsidR="007A5622" w:rsidRPr="00D73523">
        <w:t>,</w:t>
      </w:r>
      <w:r w:rsidRPr="00D73523">
        <w:t xml:space="preserve"> ligt dat meer voor de hand dan </w:t>
      </w:r>
      <w:r w:rsidR="00520FCC" w:rsidRPr="00D73523">
        <w:t xml:space="preserve">voor </w:t>
      </w:r>
      <w:r w:rsidRPr="00D73523">
        <w:t xml:space="preserve">een VSV die </w:t>
      </w:r>
      <w:r w:rsidR="00520FCC" w:rsidRPr="00D73523">
        <w:t xml:space="preserve">(alleen) </w:t>
      </w:r>
      <w:r w:rsidRPr="00D73523">
        <w:t>afspraken maakt over de kwaliteit van zorg en die verder niet of nauwelijks</w:t>
      </w:r>
      <w:r w:rsidR="007A5622" w:rsidRPr="00D73523">
        <w:t xml:space="preserve"> activiteiten buiten de eigen kring verricht/ niet of nauwelijks </w:t>
      </w:r>
      <w:r w:rsidRPr="00D73523">
        <w:t>deelneemt aan het economisch verkeer</w:t>
      </w:r>
      <w:r w:rsidR="007A5622" w:rsidRPr="00D73523">
        <w:t>.</w:t>
      </w:r>
    </w:p>
    <w:p w14:paraId="6CA72FFA" w14:textId="7B7D03EE" w:rsidR="00706BF9" w:rsidRPr="00D73523" w:rsidRDefault="00DB7662" w:rsidP="001C68B5">
      <w:pPr>
        <w:spacing w:after="200"/>
        <w:ind w:left="709"/>
      </w:pPr>
      <w:r w:rsidRPr="00D73523">
        <w:t>Voor bestuurders van een rechtspersoon zijn er gerich</w:t>
      </w:r>
      <w:r w:rsidR="00544572" w:rsidRPr="00D73523">
        <w:t>t</w:t>
      </w:r>
      <w:r w:rsidRPr="00D73523">
        <w:t xml:space="preserve">e </w:t>
      </w:r>
      <w:r w:rsidR="005B5B03" w:rsidRPr="00D73523">
        <w:t>bestuurders</w:t>
      </w:r>
      <w:r w:rsidRPr="00D73523">
        <w:t>aansprakelijkheids</w:t>
      </w:r>
      <w:r w:rsidR="005B5B03" w:rsidRPr="00D73523">
        <w:t>-</w:t>
      </w:r>
      <w:r w:rsidRPr="00D73523">
        <w:t>verzekeringen</w:t>
      </w:r>
      <w:r w:rsidR="00A418D1">
        <w:t>.</w:t>
      </w:r>
    </w:p>
    <w:p w14:paraId="41817324" w14:textId="73C3775C" w:rsidR="008F40CE" w:rsidRPr="00640F06" w:rsidRDefault="00F02998" w:rsidP="00640F06">
      <w:pPr>
        <w:pStyle w:val="Lijstalinea"/>
        <w:numPr>
          <w:ilvl w:val="0"/>
          <w:numId w:val="15"/>
        </w:numPr>
        <w:rPr>
          <w:b/>
          <w:color w:val="00B0F0"/>
          <w:sz w:val="24"/>
          <w:szCs w:val="24"/>
        </w:rPr>
      </w:pPr>
      <w:r>
        <w:rPr>
          <w:b/>
          <w:color w:val="00B0F0"/>
          <w:sz w:val="24"/>
          <w:szCs w:val="24"/>
        </w:rPr>
        <w:t xml:space="preserve">Zijn er </w:t>
      </w:r>
      <w:r w:rsidR="00640F06">
        <w:rPr>
          <w:b/>
          <w:color w:val="00B0F0"/>
          <w:sz w:val="24"/>
          <w:szCs w:val="24"/>
        </w:rPr>
        <w:t>aansprakelijkheidsverzekeringen voor netwerkorganisaties?</w:t>
      </w:r>
      <w:r w:rsidR="00640F06">
        <w:rPr>
          <w:b/>
          <w:color w:val="00B0F0"/>
          <w:sz w:val="24"/>
          <w:szCs w:val="24"/>
        </w:rPr>
        <w:br/>
      </w:r>
      <w:r w:rsidR="00640F06">
        <w:t xml:space="preserve">Enkele marktpartijen onderzoeken de mogelijkheid </w:t>
      </w:r>
      <w:r w:rsidR="00E46AEF">
        <w:t xml:space="preserve">van </w:t>
      </w:r>
      <w:r w:rsidR="00922FFE">
        <w:t>een</w:t>
      </w:r>
      <w:r w:rsidR="00E37504">
        <w:t xml:space="preserve"> overkoepelend</w:t>
      </w:r>
      <w:r w:rsidR="00922FFE">
        <w:t xml:space="preserve"> verzekerings</w:t>
      </w:r>
      <w:r w:rsidR="00E37504">
        <w:t>-</w:t>
      </w:r>
      <w:r w:rsidR="00922FFE">
        <w:t xml:space="preserve">arrangement voor VSV’s/IGO’s. </w:t>
      </w:r>
      <w:r w:rsidR="00DD2F32">
        <w:t>Zolang</w:t>
      </w:r>
      <w:r w:rsidR="008A1B6F">
        <w:t xml:space="preserve"> een dergelijk arrangement er niet is, </w:t>
      </w:r>
      <w:r w:rsidR="000675D3">
        <w:t xml:space="preserve">kunnen VSV partijen overwegen om verzekeringsissues in praktische zin op te lossen door </w:t>
      </w:r>
      <w:r w:rsidR="00A62610">
        <w:t xml:space="preserve">de </w:t>
      </w:r>
      <w:r w:rsidR="00E46AEF">
        <w:t>verzekerings</w:t>
      </w:r>
      <w:r w:rsidR="00A62610">
        <w:t>polissen aan te gaan met</w:t>
      </w:r>
      <w:r w:rsidR="00E46AEF">
        <w:t xml:space="preserve"> één en</w:t>
      </w:r>
      <w:r w:rsidR="00A62610">
        <w:t xml:space="preserve"> dezelfde verzekeraar. </w:t>
      </w:r>
      <w:r w:rsidR="00FF20AE">
        <w:t xml:space="preserve">Hiermee creëer je de situatie dat er </w:t>
      </w:r>
      <w:r w:rsidR="00E46AEF">
        <w:t>één</w:t>
      </w:r>
      <w:r w:rsidR="00FF20AE">
        <w:t xml:space="preserve"> partij </w:t>
      </w:r>
      <w:r w:rsidR="00E46AEF">
        <w:t>is die een claim behandelt, één partij is die uitbetaal</w:t>
      </w:r>
      <w:r w:rsidR="000E2AF4">
        <w:t>t</w:t>
      </w:r>
      <w:r w:rsidR="00E46AEF">
        <w:t xml:space="preserve"> en er géén verzekeraar is die naar een andere verzekeraar verwijst.</w:t>
      </w:r>
    </w:p>
    <w:p w14:paraId="57611483" w14:textId="77777777" w:rsidR="00E85831" w:rsidRPr="00E86E99" w:rsidRDefault="00E85831" w:rsidP="00E85831"/>
    <w:p w14:paraId="425CCFFD" w14:textId="69467A19" w:rsidR="00E85831" w:rsidRDefault="00E85831" w:rsidP="00E85831">
      <w:pPr>
        <w:pStyle w:val="Lijstalinea"/>
        <w:numPr>
          <w:ilvl w:val="0"/>
          <w:numId w:val="15"/>
        </w:numPr>
        <w:rPr>
          <w:b/>
          <w:color w:val="00B0F0"/>
          <w:sz w:val="24"/>
          <w:szCs w:val="24"/>
        </w:rPr>
      </w:pPr>
      <w:r>
        <w:rPr>
          <w:b/>
          <w:color w:val="00B0F0"/>
          <w:sz w:val="24"/>
          <w:szCs w:val="24"/>
        </w:rPr>
        <w:t xml:space="preserve">Zijn verantwoordelijkheid </w:t>
      </w:r>
      <w:r w:rsidR="00EC3982">
        <w:rPr>
          <w:b/>
          <w:color w:val="00B0F0"/>
          <w:sz w:val="24"/>
          <w:szCs w:val="24"/>
        </w:rPr>
        <w:t>en aansprakelijkheid een reden om geen VSV</w:t>
      </w:r>
      <w:r w:rsidR="00460FBF">
        <w:rPr>
          <w:b/>
          <w:color w:val="00B0F0"/>
          <w:sz w:val="24"/>
          <w:szCs w:val="24"/>
        </w:rPr>
        <w:t xml:space="preserve"> te vormen of een rechtspersoon op te richten?</w:t>
      </w:r>
    </w:p>
    <w:p w14:paraId="2E61D5EA" w14:textId="2B289FE8" w:rsidR="00520FCC" w:rsidRPr="00A577C9" w:rsidRDefault="00460FBF" w:rsidP="00A577C9">
      <w:pPr>
        <w:spacing w:after="200"/>
        <w:ind w:left="709"/>
      </w:pPr>
      <w:r>
        <w:t xml:space="preserve">Nee, </w:t>
      </w:r>
      <w:r w:rsidR="0083729D">
        <w:t xml:space="preserve">verantwoordelijkheid en aansprakelijkheid </w:t>
      </w:r>
      <w:r w:rsidR="000D7325">
        <w:t>behoren het vorm</w:t>
      </w:r>
      <w:r w:rsidR="0065526A">
        <w:t xml:space="preserve">en van </w:t>
      </w:r>
      <w:r w:rsidR="000D7325">
        <w:t xml:space="preserve">een VSV of het oprichten van een rechtspersoon (VSV of IGO) niet </w:t>
      </w:r>
      <w:r w:rsidR="00F343EE">
        <w:t xml:space="preserve">in </w:t>
      </w:r>
      <w:r w:rsidR="00B40472">
        <w:t>de weg te zitten.</w:t>
      </w:r>
      <w:r w:rsidR="00117E8C">
        <w:t xml:space="preserve"> Bovenvermelde vragen en antwoorden geven hierop</w:t>
      </w:r>
      <w:r w:rsidR="001B22EA">
        <w:t xml:space="preserve"> </w:t>
      </w:r>
      <w:r w:rsidR="00117E8C">
        <w:t>een heldere blik</w:t>
      </w:r>
      <w:r w:rsidR="0090209F">
        <w:t>.</w:t>
      </w:r>
      <w:r w:rsidR="00B72402">
        <w:t xml:space="preserve"> Voor alles bestaat een passende oplossing of is die te bedenken en uit te werken.</w:t>
      </w:r>
    </w:p>
    <w:p w14:paraId="3FC52329" w14:textId="4B08E608" w:rsidR="00AE01BA" w:rsidRPr="00520FCC" w:rsidRDefault="0090209F" w:rsidP="00520FCC">
      <w:pPr>
        <w:pStyle w:val="Lijstalinea"/>
        <w:numPr>
          <w:ilvl w:val="0"/>
          <w:numId w:val="15"/>
        </w:numPr>
        <w:ind w:left="714" w:hanging="357"/>
        <w:rPr>
          <w:b/>
          <w:color w:val="00B0F0"/>
          <w:sz w:val="24"/>
          <w:szCs w:val="24"/>
        </w:rPr>
      </w:pPr>
      <w:r w:rsidRPr="00E46AEF">
        <w:rPr>
          <w:b/>
          <w:color w:val="00B0F0"/>
          <w:sz w:val="24"/>
          <w:szCs w:val="24"/>
        </w:rPr>
        <w:t>Nog een andere vraag?</w:t>
      </w:r>
      <w:r w:rsidR="00405AED">
        <w:br/>
      </w:r>
      <w:r w:rsidR="009A3C99">
        <w:t>Heeft u als VSV of IGO een vraag waarop</w:t>
      </w:r>
      <w:r w:rsidR="00E46AEF">
        <w:t xml:space="preserve"> </w:t>
      </w:r>
      <w:r w:rsidR="009A3C99">
        <w:t xml:space="preserve">deze FAQ geen </w:t>
      </w:r>
      <w:r w:rsidR="00133EEF">
        <w:t xml:space="preserve">antwoord </w:t>
      </w:r>
      <w:r w:rsidR="00E46AEF">
        <w:t>geeft</w:t>
      </w:r>
      <w:r w:rsidR="00133EEF">
        <w:t xml:space="preserve"> of is het gegeven antwoord in uw spe</w:t>
      </w:r>
      <w:r w:rsidR="00C5646A">
        <w:t>cifieke situatie niet voldoende, dan kunt u dit voorleggen aan</w:t>
      </w:r>
      <w:r w:rsidR="00E46AEF">
        <w:t>:</w:t>
      </w:r>
      <w:r w:rsidR="00C5646A">
        <w:t xml:space="preserve"> </w:t>
      </w:r>
      <w:hyperlink r:id="rId11" w:history="1">
        <w:r w:rsidR="002A79B4" w:rsidRPr="00C83AC3">
          <w:rPr>
            <w:rStyle w:val="Hyperlink"/>
          </w:rPr>
          <w:t>juridischehelpdesk@collegepz.nl</w:t>
        </w:r>
      </w:hyperlink>
    </w:p>
    <w:sectPr w:rsidR="00AE01BA" w:rsidRPr="00520FCC" w:rsidSect="005D6D6D">
      <w:headerReference w:type="even" r:id="rId12"/>
      <w:headerReference w:type="default" r:id="rId13"/>
      <w:footerReference w:type="even" r:id="rId14"/>
      <w:footerReference w:type="default" r:id="rId15"/>
      <w:headerReference w:type="first" r:id="rId16"/>
      <w:footerReference w:type="first" r:id="rId17"/>
      <w:pgSz w:w="11906" w:h="16838" w:code="9"/>
      <w:pgMar w:top="2552" w:right="1531" w:bottom="1616" w:left="1531"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A449" w14:textId="77777777" w:rsidR="00E81D8B" w:rsidRDefault="00E81D8B" w:rsidP="009F3388">
      <w:r>
        <w:separator/>
      </w:r>
    </w:p>
  </w:endnote>
  <w:endnote w:type="continuationSeparator" w:id="0">
    <w:p w14:paraId="6E3BB58B" w14:textId="77777777" w:rsidR="00E81D8B" w:rsidRDefault="00E81D8B" w:rsidP="009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11A3" w14:textId="77777777" w:rsidR="00ED1B02" w:rsidRDefault="00ED1B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492451"/>
      <w:docPartObj>
        <w:docPartGallery w:val="Page Numbers (Bottom of Page)"/>
        <w:docPartUnique/>
      </w:docPartObj>
    </w:sdtPr>
    <w:sdtEndPr/>
    <w:sdtContent>
      <w:p w14:paraId="39AE19A9" w14:textId="77777777" w:rsidR="00936337" w:rsidRDefault="00936337">
        <w:pPr>
          <w:pStyle w:val="Voettekst"/>
        </w:pPr>
        <w:r>
          <w:fldChar w:fldCharType="begin"/>
        </w:r>
        <w:r>
          <w:instrText>PAGE   \* MERGEFORMAT</w:instrText>
        </w:r>
        <w:r>
          <w:fldChar w:fldCharType="separate"/>
        </w:r>
        <w:r>
          <w:t>2</w:t>
        </w:r>
        <w:r>
          <w:fldChar w:fldCharType="end"/>
        </w:r>
      </w:p>
    </w:sdtContent>
  </w:sdt>
  <w:p w14:paraId="671B3E1C" w14:textId="77777777" w:rsidR="00DF58DD" w:rsidRPr="00DF58DD" w:rsidRDefault="00DF58DD" w:rsidP="00DF58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DD3" w14:textId="6550A253" w:rsidR="00DF58DD" w:rsidRPr="0089145F" w:rsidRDefault="0048216B" w:rsidP="006E23A5">
    <w:pPr>
      <w:pStyle w:val="Voettekst"/>
      <w:rPr>
        <w:rFonts w:asciiTheme="minorHAnsi" w:hAnsiTheme="minorHAnsi" w:cstheme="minorHAnsi"/>
        <w:color w:val="00B0F0"/>
        <w:sz w:val="22"/>
        <w:szCs w:val="22"/>
      </w:rPr>
    </w:pPr>
    <w:r w:rsidRPr="0089145F">
      <w:rPr>
        <w:rFonts w:asciiTheme="minorHAnsi" w:hAnsiTheme="minorHAnsi" w:cstheme="minorHAnsi"/>
        <w:color w:val="00B0F0"/>
        <w:sz w:val="22"/>
        <w:szCs w:val="22"/>
      </w:rPr>
      <w:ptab w:relativeTo="margin" w:alignment="center" w:leader="none"/>
    </w:r>
    <w:r w:rsidRPr="0089145F">
      <w:rPr>
        <w:rFonts w:asciiTheme="minorHAnsi" w:hAnsiTheme="minorHAnsi" w:cstheme="minorHAnsi"/>
        <w:color w:val="00B0F0"/>
        <w:sz w:val="22"/>
        <w:szCs w:val="22"/>
      </w:rPr>
      <w:ptab w:relativeTo="margin" w:alignment="right" w:leader="none"/>
    </w:r>
    <w:r w:rsidR="0089145F" w:rsidRPr="0089145F">
      <w:rPr>
        <w:rFonts w:asciiTheme="minorHAnsi" w:hAnsiTheme="minorHAnsi" w:cstheme="minorHAnsi"/>
        <w:color w:val="00B0F0"/>
        <w:sz w:val="22"/>
        <w:szCs w:val="22"/>
      </w:rPr>
      <w:t>www.kennisnetgeboortezorg.nl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CF80" w14:textId="77777777" w:rsidR="00E81D8B" w:rsidRDefault="00E81D8B" w:rsidP="009F3388">
      <w:r>
        <w:separator/>
      </w:r>
    </w:p>
  </w:footnote>
  <w:footnote w:type="continuationSeparator" w:id="0">
    <w:p w14:paraId="54DDAC9F" w14:textId="77777777" w:rsidR="00E81D8B" w:rsidRDefault="00E81D8B" w:rsidP="009F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BA0B" w14:textId="77777777" w:rsidR="00ED1B02" w:rsidRDefault="00ED1B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A496" w14:textId="77777777" w:rsidR="00F248D7" w:rsidRDefault="00F248D7" w:rsidP="009F3388">
    <w:pPr>
      <w:pStyle w:val="Koptekst"/>
    </w:pPr>
  </w:p>
  <w:p w14:paraId="6810F298" w14:textId="77777777" w:rsidR="00F248D7" w:rsidRDefault="00F248D7" w:rsidP="009F3388">
    <w:pPr>
      <w:pStyle w:val="Koptekst"/>
    </w:pPr>
  </w:p>
  <w:p w14:paraId="6D37A4D5" w14:textId="77777777" w:rsidR="00F248D7" w:rsidRDefault="00F248D7" w:rsidP="009F3388">
    <w:pPr>
      <w:pStyle w:val="Koptekst"/>
    </w:pPr>
  </w:p>
  <w:p w14:paraId="0ABB63A3" w14:textId="77777777" w:rsidR="00F248D7" w:rsidRDefault="00F248D7" w:rsidP="009F3388">
    <w:pPr>
      <w:pStyle w:val="Koptekst"/>
    </w:pPr>
  </w:p>
  <w:p w14:paraId="51EA1930" w14:textId="77777777" w:rsidR="00A137EB" w:rsidRPr="009F3388" w:rsidRDefault="00301573" w:rsidP="00DF58DD">
    <w:pPr>
      <w:pStyle w:val="Koptekst"/>
      <w:spacing w:after="160"/>
    </w:pPr>
    <w:r>
      <w:rPr>
        <w:lang w:eastAsia="nl-NL"/>
      </w:rPr>
      <w:drawing>
        <wp:anchor distT="0" distB="0" distL="114300" distR="114300" simplePos="0" relativeHeight="251656192" behindDoc="1" locked="0" layoutInCell="1" allowOverlap="1" wp14:anchorId="258D903B" wp14:editId="42E2FA61">
          <wp:simplePos x="0" y="0"/>
          <wp:positionH relativeFrom="page">
            <wp:align>left</wp:align>
          </wp:positionH>
          <wp:positionV relativeFrom="page">
            <wp:align>top</wp:align>
          </wp:positionV>
          <wp:extent cx="7560000" cy="14076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0FE3" w14:textId="77777777" w:rsidR="00AE423E" w:rsidRPr="005D6D6D" w:rsidRDefault="00660C36" w:rsidP="00AE423E">
    <w:pPr>
      <w:pStyle w:val="Tussenkop"/>
      <w:rPr>
        <w:b/>
        <w:sz w:val="22"/>
        <w:szCs w:val="22"/>
      </w:rPr>
    </w:pPr>
    <w:r w:rsidRPr="005D6D6D">
      <w:rPr>
        <w:b/>
        <w:sz w:val="22"/>
        <w:szCs w:val="22"/>
      </w:rPr>
      <w:ptab w:relativeTo="margin" w:alignment="center" w:leader="none"/>
    </w:r>
    <w:r w:rsidR="00AE423E" w:rsidRPr="005D6D6D">
      <w:rPr>
        <w:b/>
        <w:sz w:val="22"/>
        <w:szCs w:val="22"/>
      </w:rPr>
      <w:ptab w:relativeTo="margin" w:alignment="left" w:leader="none"/>
    </w:r>
    <w:r w:rsidR="001E5D02" w:rsidRPr="005D6D6D">
      <w:rPr>
        <w:b/>
        <w:sz w:val="22"/>
        <w:szCs w:val="22"/>
      </w:rPr>
      <w:t>September 2019</w:t>
    </w:r>
  </w:p>
  <w:p w14:paraId="455DAFF9" w14:textId="77777777" w:rsidR="00AE423E" w:rsidRDefault="00AE423E" w:rsidP="00AE423E">
    <w:pPr>
      <w:pStyle w:val="Koptekst"/>
    </w:pPr>
  </w:p>
  <w:p w14:paraId="1EDC0EF7" w14:textId="77777777" w:rsidR="00AE423E" w:rsidRDefault="00AE423E" w:rsidP="00AE423E">
    <w:pPr>
      <w:pStyle w:val="Koptekst"/>
    </w:pPr>
  </w:p>
  <w:p w14:paraId="523EF98E" w14:textId="3634B3A2" w:rsidR="007702D0" w:rsidRPr="009F3388" w:rsidRDefault="002B0684" w:rsidP="00AE423E">
    <w:pPr>
      <w:pStyle w:val="Koptekst"/>
    </w:pPr>
    <w:bookmarkStart w:id="3" w:name="_GoBack"/>
    <w:r>
      <w:rPr>
        <w:lang w:eastAsia="nl-NL"/>
      </w:rPr>
      <w:drawing>
        <wp:anchor distT="0" distB="0" distL="114300" distR="114300" simplePos="0" relativeHeight="251688960" behindDoc="1" locked="0" layoutInCell="1" allowOverlap="1" wp14:anchorId="18AC3801" wp14:editId="21ED2CE5">
          <wp:simplePos x="0" y="0"/>
          <wp:positionH relativeFrom="page">
            <wp:align>left</wp:align>
          </wp:positionH>
          <wp:positionV relativeFrom="page">
            <wp:align>top</wp:align>
          </wp:positionV>
          <wp:extent cx="7560000" cy="14076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601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627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C03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E3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68C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C8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54F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48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46C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4E9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E25A6"/>
    <w:multiLevelType w:val="multilevel"/>
    <w:tmpl w:val="80303072"/>
    <w:lvl w:ilvl="0">
      <w:start w:val="1"/>
      <w:numFmt w:val="bullet"/>
      <w:pStyle w:val="Opsomming"/>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182B6B79"/>
    <w:multiLevelType w:val="hybridMultilevel"/>
    <w:tmpl w:val="9EE42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140022"/>
    <w:multiLevelType w:val="hybridMultilevel"/>
    <w:tmpl w:val="A40863EE"/>
    <w:lvl w:ilvl="0" w:tplc="F21C9B1A">
      <w:start w:val="1"/>
      <w:numFmt w:val="decimal"/>
      <w:lvlText w:val="%1)"/>
      <w:lvlJc w:val="left"/>
      <w:pPr>
        <w:ind w:left="1080" w:hanging="360"/>
      </w:pPr>
      <w:rPr>
        <w:rFonts w:hint="default"/>
        <w:b w:val="0"/>
        <w:color w:val="auto"/>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4E45D1E"/>
    <w:multiLevelType w:val="hybridMultilevel"/>
    <w:tmpl w:val="F900FA6C"/>
    <w:lvl w:ilvl="0" w:tplc="FBDA611C">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F8354E"/>
    <w:multiLevelType w:val="hybridMultilevel"/>
    <w:tmpl w:val="8E667CE6"/>
    <w:lvl w:ilvl="0" w:tplc="0826FD2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94523CF"/>
    <w:multiLevelType w:val="hybridMultilevel"/>
    <w:tmpl w:val="239C9890"/>
    <w:lvl w:ilvl="0" w:tplc="E62CB890">
      <w:numFmt w:val="bullet"/>
      <w:lvlText w:val=""/>
      <w:lvlJc w:val="left"/>
      <w:pPr>
        <w:ind w:left="1080" w:hanging="360"/>
      </w:pPr>
      <w:rPr>
        <w:rFonts w:ascii="Wingdings" w:eastAsiaTheme="minorHAnsi" w:hAnsi="Wingdings" w:cs="Open San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E63CF2"/>
    <w:multiLevelType w:val="multilevel"/>
    <w:tmpl w:val="B21C60B2"/>
    <w:lvl w:ilvl="0">
      <w:start w:val="1"/>
      <w:numFmt w:val="decimal"/>
      <w:pStyle w:val="Kop1"/>
      <w:lvlText w:val="%1."/>
      <w:lvlJc w:val="left"/>
      <w:pPr>
        <w:ind w:left="284" w:hanging="284"/>
      </w:pPr>
      <w:rPr>
        <w:rFonts w:hint="default"/>
      </w:rPr>
    </w:lvl>
    <w:lvl w:ilvl="1">
      <w:start w:val="1"/>
      <w:numFmt w:val="upperLetter"/>
      <w:pStyle w:val="Kop2"/>
      <w:lvlText w:val="%2."/>
      <w:lvlJc w:val="left"/>
      <w:pPr>
        <w:ind w:left="284" w:hanging="284"/>
      </w:pPr>
      <w:rPr>
        <w:rFonts w:hint="default"/>
      </w:rPr>
    </w:lvl>
    <w:lvl w:ilvl="2">
      <w:start w:val="1"/>
      <w:numFmt w:val="decimal"/>
      <w:pStyle w:val="Nummering"/>
      <w:suff w:val="nothing"/>
      <w:lvlText w:val="%3."/>
      <w:lvlJc w:val="right"/>
      <w:pPr>
        <w:ind w:left="0" w:firstLine="0"/>
      </w:pPr>
      <w:rPr>
        <w:rFonts w:hint="default"/>
        <w:color w:val="00ADEE" w:themeColor="accent1"/>
      </w:rPr>
    </w:lvl>
    <w:lvl w:ilvl="3">
      <w:start w:val="1"/>
      <w:numFmt w:val="decimal"/>
      <w:pStyle w:val="Kop4"/>
      <w:lvlText w:val="%1.%2.%3.%4"/>
      <w:lvlJc w:val="left"/>
      <w:pPr>
        <w:ind w:left="284" w:hanging="284"/>
      </w:pPr>
      <w:rPr>
        <w:rFonts w:hint="default"/>
      </w:rPr>
    </w:lvl>
    <w:lvl w:ilvl="4">
      <w:start w:val="1"/>
      <w:numFmt w:val="decimal"/>
      <w:pStyle w:val="Kop5"/>
      <w:lvlText w:val="%1.%2.%3.%4.%5"/>
      <w:lvlJc w:val="left"/>
      <w:pPr>
        <w:ind w:left="284" w:hanging="284"/>
      </w:pPr>
      <w:rPr>
        <w:rFonts w:hint="default"/>
      </w:rPr>
    </w:lvl>
    <w:lvl w:ilvl="5">
      <w:start w:val="1"/>
      <w:numFmt w:val="decimal"/>
      <w:pStyle w:val="Kop6"/>
      <w:lvlText w:val="%1.%2.%3.%4.%5.%6"/>
      <w:lvlJc w:val="left"/>
      <w:pPr>
        <w:ind w:left="284" w:hanging="284"/>
      </w:pPr>
      <w:rPr>
        <w:rFonts w:hint="default"/>
      </w:rPr>
    </w:lvl>
    <w:lvl w:ilvl="6">
      <w:start w:val="1"/>
      <w:numFmt w:val="decimal"/>
      <w:pStyle w:val="Kop7"/>
      <w:lvlText w:val="%1.%2.%3.%4.%5.%6.%7"/>
      <w:lvlJc w:val="left"/>
      <w:pPr>
        <w:ind w:left="284" w:hanging="284"/>
      </w:pPr>
      <w:rPr>
        <w:rFonts w:hint="default"/>
      </w:rPr>
    </w:lvl>
    <w:lvl w:ilvl="7">
      <w:start w:val="1"/>
      <w:numFmt w:val="decimal"/>
      <w:pStyle w:val="Kop8"/>
      <w:lvlText w:val="%1.%2.%3.%4.%5.%6.%7.%8"/>
      <w:lvlJc w:val="left"/>
      <w:pPr>
        <w:ind w:left="284" w:hanging="284"/>
      </w:pPr>
      <w:rPr>
        <w:rFonts w:hint="default"/>
      </w:rPr>
    </w:lvl>
    <w:lvl w:ilvl="8">
      <w:start w:val="1"/>
      <w:numFmt w:val="decimal"/>
      <w:pStyle w:val="Kop9"/>
      <w:lvlText w:val="%1.%2.%3.%4.%5.%6.%7.%8.%9"/>
      <w:lvlJc w:val="left"/>
      <w:pPr>
        <w:ind w:left="284" w:hanging="284"/>
      </w:pPr>
      <w:rPr>
        <w:rFonts w:hint="default"/>
      </w:rPr>
    </w:lvl>
  </w:abstractNum>
  <w:abstractNum w:abstractNumId="17" w15:restartNumberingAfterBreak="0">
    <w:nsid w:val="75867283"/>
    <w:multiLevelType w:val="hybridMultilevel"/>
    <w:tmpl w:val="B356715E"/>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DDF1BF6"/>
    <w:multiLevelType w:val="multilevel"/>
    <w:tmpl w:val="8FF2D8F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8" w:hanging="284"/>
      </w:pPr>
      <w:rPr>
        <w:rFonts w:ascii="Arial" w:hAnsi="Arial" w:hint="default"/>
      </w:rPr>
    </w:lvl>
    <w:lvl w:ilvl="2">
      <w:start w:val="1"/>
      <w:numFmt w:val="lowerRoman"/>
      <w:lvlText w:val="%3."/>
      <w:lvlJc w:val="right"/>
      <w:pPr>
        <w:tabs>
          <w:tab w:val="num" w:pos="1648"/>
        </w:tabs>
        <w:ind w:left="852" w:hanging="284"/>
      </w:pPr>
      <w:rPr>
        <w:rFonts w:hint="default"/>
      </w:rPr>
    </w:lvl>
    <w:lvl w:ilvl="3">
      <w:start w:val="1"/>
      <w:numFmt w:val="decimal"/>
      <w:lvlText w:val="%4."/>
      <w:lvlJc w:val="left"/>
      <w:pPr>
        <w:tabs>
          <w:tab w:val="num" w:pos="1932"/>
        </w:tabs>
        <w:ind w:left="1136" w:hanging="284"/>
      </w:pPr>
      <w:rPr>
        <w:rFonts w:hint="default"/>
      </w:rPr>
    </w:lvl>
    <w:lvl w:ilvl="4">
      <w:start w:val="1"/>
      <w:numFmt w:val="lowerLetter"/>
      <w:lvlText w:val="%5."/>
      <w:lvlJc w:val="left"/>
      <w:pPr>
        <w:tabs>
          <w:tab w:val="num" w:pos="2216"/>
        </w:tabs>
        <w:ind w:left="1420" w:hanging="284"/>
      </w:pPr>
      <w:rPr>
        <w:rFonts w:hint="default"/>
      </w:rPr>
    </w:lvl>
    <w:lvl w:ilvl="5">
      <w:start w:val="1"/>
      <w:numFmt w:val="lowerRoman"/>
      <w:lvlText w:val="%6."/>
      <w:lvlJc w:val="right"/>
      <w:pPr>
        <w:tabs>
          <w:tab w:val="num" w:pos="2500"/>
        </w:tabs>
        <w:ind w:left="1704" w:hanging="284"/>
      </w:pPr>
      <w:rPr>
        <w:rFonts w:hint="default"/>
      </w:rPr>
    </w:lvl>
    <w:lvl w:ilvl="6">
      <w:start w:val="1"/>
      <w:numFmt w:val="decimal"/>
      <w:lvlText w:val="%7."/>
      <w:lvlJc w:val="left"/>
      <w:pPr>
        <w:tabs>
          <w:tab w:val="num" w:pos="2784"/>
        </w:tabs>
        <w:ind w:left="1988" w:hanging="284"/>
      </w:pPr>
      <w:rPr>
        <w:rFonts w:hint="default"/>
      </w:rPr>
    </w:lvl>
    <w:lvl w:ilvl="7">
      <w:start w:val="1"/>
      <w:numFmt w:val="lowerLetter"/>
      <w:lvlText w:val="%8."/>
      <w:lvlJc w:val="left"/>
      <w:pPr>
        <w:tabs>
          <w:tab w:val="num" w:pos="3068"/>
        </w:tabs>
        <w:ind w:left="2272" w:hanging="284"/>
      </w:pPr>
      <w:rPr>
        <w:rFonts w:hint="default"/>
      </w:rPr>
    </w:lvl>
    <w:lvl w:ilvl="8">
      <w:start w:val="1"/>
      <w:numFmt w:val="lowerRoman"/>
      <w:lvlText w:val="%9."/>
      <w:lvlJc w:val="right"/>
      <w:pPr>
        <w:tabs>
          <w:tab w:val="num" w:pos="3352"/>
        </w:tabs>
        <w:ind w:left="2556" w:hanging="284"/>
      </w:pPr>
      <w:rPr>
        <w:rFonts w:hint="default"/>
      </w:rPr>
    </w:lvl>
  </w:abstractNum>
  <w:num w:numId="1">
    <w:abstractNumId w:val="18"/>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5"/>
  </w:num>
  <w:num w:numId="17">
    <w:abstractNumId w:val="12"/>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BE"/>
    <w:rsid w:val="00000CA2"/>
    <w:rsid w:val="00001408"/>
    <w:rsid w:val="0000717F"/>
    <w:rsid w:val="00046F5A"/>
    <w:rsid w:val="00066AE9"/>
    <w:rsid w:val="000672D4"/>
    <w:rsid w:val="000675D3"/>
    <w:rsid w:val="00072850"/>
    <w:rsid w:val="00075C2A"/>
    <w:rsid w:val="00075E1D"/>
    <w:rsid w:val="00087CAE"/>
    <w:rsid w:val="0009318B"/>
    <w:rsid w:val="000955E2"/>
    <w:rsid w:val="00097BC6"/>
    <w:rsid w:val="000B29B9"/>
    <w:rsid w:val="000B3748"/>
    <w:rsid w:val="000B42AB"/>
    <w:rsid w:val="000C29CF"/>
    <w:rsid w:val="000C5A7C"/>
    <w:rsid w:val="000D11F3"/>
    <w:rsid w:val="000D1455"/>
    <w:rsid w:val="000D2106"/>
    <w:rsid w:val="000D3E6F"/>
    <w:rsid w:val="000D7325"/>
    <w:rsid w:val="000E10C5"/>
    <w:rsid w:val="000E2AF4"/>
    <w:rsid w:val="000E7050"/>
    <w:rsid w:val="00117E8C"/>
    <w:rsid w:val="001302D9"/>
    <w:rsid w:val="00130860"/>
    <w:rsid w:val="00130A10"/>
    <w:rsid w:val="00133EEF"/>
    <w:rsid w:val="00143DEA"/>
    <w:rsid w:val="00144E99"/>
    <w:rsid w:val="00144F0B"/>
    <w:rsid w:val="00160ED5"/>
    <w:rsid w:val="00165CD1"/>
    <w:rsid w:val="00177745"/>
    <w:rsid w:val="00183913"/>
    <w:rsid w:val="00184A49"/>
    <w:rsid w:val="001909B9"/>
    <w:rsid w:val="00195BFE"/>
    <w:rsid w:val="001B22EA"/>
    <w:rsid w:val="001C68B5"/>
    <w:rsid w:val="001D77D7"/>
    <w:rsid w:val="001E3001"/>
    <w:rsid w:val="001E5D02"/>
    <w:rsid w:val="001E6386"/>
    <w:rsid w:val="001F2DF7"/>
    <w:rsid w:val="0021231A"/>
    <w:rsid w:val="00213D66"/>
    <w:rsid w:val="00221078"/>
    <w:rsid w:val="00242627"/>
    <w:rsid w:val="00244479"/>
    <w:rsid w:val="002511C7"/>
    <w:rsid w:val="00251A79"/>
    <w:rsid w:val="00251AA1"/>
    <w:rsid w:val="00266162"/>
    <w:rsid w:val="002672C9"/>
    <w:rsid w:val="0026735B"/>
    <w:rsid w:val="00270D8B"/>
    <w:rsid w:val="00272CC8"/>
    <w:rsid w:val="00281FE1"/>
    <w:rsid w:val="002A27C5"/>
    <w:rsid w:val="002A5484"/>
    <w:rsid w:val="002A79B4"/>
    <w:rsid w:val="002B0684"/>
    <w:rsid w:val="002C1214"/>
    <w:rsid w:val="002D02E4"/>
    <w:rsid w:val="002E006B"/>
    <w:rsid w:val="002E579D"/>
    <w:rsid w:val="002F0A24"/>
    <w:rsid w:val="00301573"/>
    <w:rsid w:val="003042F0"/>
    <w:rsid w:val="003121E3"/>
    <w:rsid w:val="00312C71"/>
    <w:rsid w:val="003249B3"/>
    <w:rsid w:val="00332715"/>
    <w:rsid w:val="00347675"/>
    <w:rsid w:val="003656C1"/>
    <w:rsid w:val="003C387B"/>
    <w:rsid w:val="003E330D"/>
    <w:rsid w:val="003F3F4B"/>
    <w:rsid w:val="00403199"/>
    <w:rsid w:val="00405AED"/>
    <w:rsid w:val="0042093E"/>
    <w:rsid w:val="0042705A"/>
    <w:rsid w:val="00427B3A"/>
    <w:rsid w:val="00447133"/>
    <w:rsid w:val="004477C5"/>
    <w:rsid w:val="00460FBF"/>
    <w:rsid w:val="00464C6A"/>
    <w:rsid w:val="00467778"/>
    <w:rsid w:val="0048216B"/>
    <w:rsid w:val="00494D9B"/>
    <w:rsid w:val="004B031B"/>
    <w:rsid w:val="004C5E86"/>
    <w:rsid w:val="004D0AB9"/>
    <w:rsid w:val="004D231B"/>
    <w:rsid w:val="00500A7B"/>
    <w:rsid w:val="0051185D"/>
    <w:rsid w:val="00520F4A"/>
    <w:rsid w:val="00520FCC"/>
    <w:rsid w:val="00530B9C"/>
    <w:rsid w:val="00535F12"/>
    <w:rsid w:val="005367B1"/>
    <w:rsid w:val="005423BE"/>
    <w:rsid w:val="00544572"/>
    <w:rsid w:val="00555551"/>
    <w:rsid w:val="005612F3"/>
    <w:rsid w:val="00563D68"/>
    <w:rsid w:val="00564CB4"/>
    <w:rsid w:val="00583B52"/>
    <w:rsid w:val="00584F61"/>
    <w:rsid w:val="005A6A3E"/>
    <w:rsid w:val="005B475C"/>
    <w:rsid w:val="005B5B03"/>
    <w:rsid w:val="005D1FCA"/>
    <w:rsid w:val="005D6745"/>
    <w:rsid w:val="005D6A76"/>
    <w:rsid w:val="005D6D6D"/>
    <w:rsid w:val="005E331E"/>
    <w:rsid w:val="005E62D0"/>
    <w:rsid w:val="005F0154"/>
    <w:rsid w:val="005F4FE2"/>
    <w:rsid w:val="00604A88"/>
    <w:rsid w:val="006052DE"/>
    <w:rsid w:val="006125BE"/>
    <w:rsid w:val="00615ABB"/>
    <w:rsid w:val="00631204"/>
    <w:rsid w:val="00631F6D"/>
    <w:rsid w:val="00640F06"/>
    <w:rsid w:val="006479F7"/>
    <w:rsid w:val="00650F6C"/>
    <w:rsid w:val="00654AE6"/>
    <w:rsid w:val="0065526A"/>
    <w:rsid w:val="00660C36"/>
    <w:rsid w:val="00675453"/>
    <w:rsid w:val="00680843"/>
    <w:rsid w:val="00687808"/>
    <w:rsid w:val="006915C5"/>
    <w:rsid w:val="006B59AB"/>
    <w:rsid w:val="006B7448"/>
    <w:rsid w:val="006D057F"/>
    <w:rsid w:val="006D1C6F"/>
    <w:rsid w:val="006E17F5"/>
    <w:rsid w:val="006E23A5"/>
    <w:rsid w:val="006F5A46"/>
    <w:rsid w:val="00706BF9"/>
    <w:rsid w:val="007124C6"/>
    <w:rsid w:val="00715ED6"/>
    <w:rsid w:val="007304BF"/>
    <w:rsid w:val="00730DBD"/>
    <w:rsid w:val="00740DDA"/>
    <w:rsid w:val="00743334"/>
    <w:rsid w:val="00752D40"/>
    <w:rsid w:val="007551B7"/>
    <w:rsid w:val="007702D0"/>
    <w:rsid w:val="00770B90"/>
    <w:rsid w:val="00783CFC"/>
    <w:rsid w:val="00786D52"/>
    <w:rsid w:val="007966C6"/>
    <w:rsid w:val="007A5622"/>
    <w:rsid w:val="007D07C1"/>
    <w:rsid w:val="007D16C3"/>
    <w:rsid w:val="007F6185"/>
    <w:rsid w:val="0080242A"/>
    <w:rsid w:val="0081737C"/>
    <w:rsid w:val="0083729D"/>
    <w:rsid w:val="008432E5"/>
    <w:rsid w:val="00850D4C"/>
    <w:rsid w:val="00853F6A"/>
    <w:rsid w:val="0087380E"/>
    <w:rsid w:val="00876AE5"/>
    <w:rsid w:val="0088163E"/>
    <w:rsid w:val="0089145F"/>
    <w:rsid w:val="00896D00"/>
    <w:rsid w:val="008A1B6F"/>
    <w:rsid w:val="008B2761"/>
    <w:rsid w:val="008C0433"/>
    <w:rsid w:val="008C080C"/>
    <w:rsid w:val="008C09E9"/>
    <w:rsid w:val="008D4430"/>
    <w:rsid w:val="008E0C32"/>
    <w:rsid w:val="008F2BDF"/>
    <w:rsid w:val="008F40CE"/>
    <w:rsid w:val="008F46A0"/>
    <w:rsid w:val="008F7112"/>
    <w:rsid w:val="0090209F"/>
    <w:rsid w:val="009028D3"/>
    <w:rsid w:val="00902F5B"/>
    <w:rsid w:val="0090771B"/>
    <w:rsid w:val="009112BA"/>
    <w:rsid w:val="00912CDE"/>
    <w:rsid w:val="0091498A"/>
    <w:rsid w:val="00917393"/>
    <w:rsid w:val="00922FFE"/>
    <w:rsid w:val="00931723"/>
    <w:rsid w:val="009346B4"/>
    <w:rsid w:val="00936337"/>
    <w:rsid w:val="00937102"/>
    <w:rsid w:val="009420D2"/>
    <w:rsid w:val="009425A7"/>
    <w:rsid w:val="009479DE"/>
    <w:rsid w:val="009529CD"/>
    <w:rsid w:val="00954224"/>
    <w:rsid w:val="0095656B"/>
    <w:rsid w:val="00960751"/>
    <w:rsid w:val="00971980"/>
    <w:rsid w:val="00981C32"/>
    <w:rsid w:val="00981DC1"/>
    <w:rsid w:val="00990CD3"/>
    <w:rsid w:val="00990E9A"/>
    <w:rsid w:val="00994EB8"/>
    <w:rsid w:val="00997277"/>
    <w:rsid w:val="009A0B89"/>
    <w:rsid w:val="009A3C99"/>
    <w:rsid w:val="009A5899"/>
    <w:rsid w:val="009B6FC9"/>
    <w:rsid w:val="009C378C"/>
    <w:rsid w:val="009F3388"/>
    <w:rsid w:val="00A0228A"/>
    <w:rsid w:val="00A02DC1"/>
    <w:rsid w:val="00A137EB"/>
    <w:rsid w:val="00A209E1"/>
    <w:rsid w:val="00A316A0"/>
    <w:rsid w:val="00A418D1"/>
    <w:rsid w:val="00A44DA3"/>
    <w:rsid w:val="00A577C9"/>
    <w:rsid w:val="00A62610"/>
    <w:rsid w:val="00A728FF"/>
    <w:rsid w:val="00A73BFD"/>
    <w:rsid w:val="00A92A3C"/>
    <w:rsid w:val="00A93A06"/>
    <w:rsid w:val="00AA32AF"/>
    <w:rsid w:val="00AA6752"/>
    <w:rsid w:val="00AB571B"/>
    <w:rsid w:val="00AD3E83"/>
    <w:rsid w:val="00AE01BA"/>
    <w:rsid w:val="00AE423E"/>
    <w:rsid w:val="00AE7186"/>
    <w:rsid w:val="00AF5E88"/>
    <w:rsid w:val="00B04A09"/>
    <w:rsid w:val="00B16E8D"/>
    <w:rsid w:val="00B20C1D"/>
    <w:rsid w:val="00B233AB"/>
    <w:rsid w:val="00B274BA"/>
    <w:rsid w:val="00B40472"/>
    <w:rsid w:val="00B447E9"/>
    <w:rsid w:val="00B66466"/>
    <w:rsid w:val="00B72402"/>
    <w:rsid w:val="00B7695B"/>
    <w:rsid w:val="00B77B32"/>
    <w:rsid w:val="00B807BE"/>
    <w:rsid w:val="00B80B22"/>
    <w:rsid w:val="00B82295"/>
    <w:rsid w:val="00B83202"/>
    <w:rsid w:val="00B84F3E"/>
    <w:rsid w:val="00BA1554"/>
    <w:rsid w:val="00BC237E"/>
    <w:rsid w:val="00BD2D4C"/>
    <w:rsid w:val="00BD6CDF"/>
    <w:rsid w:val="00BE5E37"/>
    <w:rsid w:val="00BF5207"/>
    <w:rsid w:val="00C20CE2"/>
    <w:rsid w:val="00C31717"/>
    <w:rsid w:val="00C40631"/>
    <w:rsid w:val="00C40CA7"/>
    <w:rsid w:val="00C43B73"/>
    <w:rsid w:val="00C55714"/>
    <w:rsid w:val="00C5646A"/>
    <w:rsid w:val="00C603A4"/>
    <w:rsid w:val="00C654AE"/>
    <w:rsid w:val="00C73F74"/>
    <w:rsid w:val="00C74F65"/>
    <w:rsid w:val="00C7515F"/>
    <w:rsid w:val="00C81865"/>
    <w:rsid w:val="00C83E93"/>
    <w:rsid w:val="00C91185"/>
    <w:rsid w:val="00CA645C"/>
    <w:rsid w:val="00CA717B"/>
    <w:rsid w:val="00CB46E8"/>
    <w:rsid w:val="00CD4C68"/>
    <w:rsid w:val="00CD771E"/>
    <w:rsid w:val="00CE1970"/>
    <w:rsid w:val="00CE1FCE"/>
    <w:rsid w:val="00CE4D62"/>
    <w:rsid w:val="00D1194D"/>
    <w:rsid w:val="00D17E45"/>
    <w:rsid w:val="00D22B77"/>
    <w:rsid w:val="00D23A3A"/>
    <w:rsid w:val="00D34887"/>
    <w:rsid w:val="00D376C5"/>
    <w:rsid w:val="00D42131"/>
    <w:rsid w:val="00D4266F"/>
    <w:rsid w:val="00D47281"/>
    <w:rsid w:val="00D538BE"/>
    <w:rsid w:val="00D73523"/>
    <w:rsid w:val="00D829C6"/>
    <w:rsid w:val="00D841CF"/>
    <w:rsid w:val="00D85098"/>
    <w:rsid w:val="00D911E8"/>
    <w:rsid w:val="00D92F59"/>
    <w:rsid w:val="00D94A90"/>
    <w:rsid w:val="00DA15C9"/>
    <w:rsid w:val="00DA1D32"/>
    <w:rsid w:val="00DA3599"/>
    <w:rsid w:val="00DB0812"/>
    <w:rsid w:val="00DB7662"/>
    <w:rsid w:val="00DC4349"/>
    <w:rsid w:val="00DD2F32"/>
    <w:rsid w:val="00DD4098"/>
    <w:rsid w:val="00DE60F5"/>
    <w:rsid w:val="00DF58DD"/>
    <w:rsid w:val="00DF6E2B"/>
    <w:rsid w:val="00E00747"/>
    <w:rsid w:val="00E02701"/>
    <w:rsid w:val="00E03814"/>
    <w:rsid w:val="00E05426"/>
    <w:rsid w:val="00E06D4B"/>
    <w:rsid w:val="00E13866"/>
    <w:rsid w:val="00E169AE"/>
    <w:rsid w:val="00E37504"/>
    <w:rsid w:val="00E46AEF"/>
    <w:rsid w:val="00E46DD4"/>
    <w:rsid w:val="00E54A67"/>
    <w:rsid w:val="00E571C1"/>
    <w:rsid w:val="00E63394"/>
    <w:rsid w:val="00E81D8B"/>
    <w:rsid w:val="00E85831"/>
    <w:rsid w:val="00E87FA0"/>
    <w:rsid w:val="00E90EE7"/>
    <w:rsid w:val="00EA4784"/>
    <w:rsid w:val="00EC0A7B"/>
    <w:rsid w:val="00EC3982"/>
    <w:rsid w:val="00EC5AF2"/>
    <w:rsid w:val="00ED1B02"/>
    <w:rsid w:val="00ED21A6"/>
    <w:rsid w:val="00ED536E"/>
    <w:rsid w:val="00ED5CB3"/>
    <w:rsid w:val="00F00D0E"/>
    <w:rsid w:val="00F015F5"/>
    <w:rsid w:val="00F02998"/>
    <w:rsid w:val="00F04B25"/>
    <w:rsid w:val="00F10F44"/>
    <w:rsid w:val="00F248D7"/>
    <w:rsid w:val="00F343EE"/>
    <w:rsid w:val="00F3773D"/>
    <w:rsid w:val="00F4514F"/>
    <w:rsid w:val="00F466C4"/>
    <w:rsid w:val="00F51604"/>
    <w:rsid w:val="00F54747"/>
    <w:rsid w:val="00F812B1"/>
    <w:rsid w:val="00F824AA"/>
    <w:rsid w:val="00F86A6E"/>
    <w:rsid w:val="00F90A3B"/>
    <w:rsid w:val="00FA29BE"/>
    <w:rsid w:val="00FB2855"/>
    <w:rsid w:val="00FB3B77"/>
    <w:rsid w:val="00FC4D48"/>
    <w:rsid w:val="00FE170B"/>
    <w:rsid w:val="00FF2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0C0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1573"/>
    <w:pPr>
      <w:spacing w:after="0" w:line="240" w:lineRule="atLeast"/>
    </w:pPr>
    <w:rPr>
      <w:rFonts w:asciiTheme="minorHAnsi" w:hAnsiTheme="minorHAnsi" w:cs="Open Sans"/>
      <w:sz w:val="20"/>
      <w:szCs w:val="16"/>
    </w:rPr>
  </w:style>
  <w:style w:type="paragraph" w:styleId="Kop1">
    <w:name w:val="heading 1"/>
    <w:basedOn w:val="Standaard"/>
    <w:next w:val="Standaard"/>
    <w:link w:val="Kop1Char"/>
    <w:uiPriority w:val="9"/>
    <w:qFormat/>
    <w:rsid w:val="002B0684"/>
    <w:pPr>
      <w:numPr>
        <w:numId w:val="14"/>
      </w:numPr>
      <w:spacing w:line="240" w:lineRule="auto"/>
      <w:outlineLvl w:val="0"/>
    </w:pPr>
    <w:rPr>
      <w:rFonts w:asciiTheme="majorHAnsi" w:hAnsiTheme="majorHAnsi" w:cstheme="majorHAnsi"/>
      <w:b/>
      <w:color w:val="00ADEE" w:themeColor="accent1"/>
      <w:szCs w:val="18"/>
    </w:rPr>
  </w:style>
  <w:style w:type="paragraph" w:styleId="Kop2">
    <w:name w:val="heading 2"/>
    <w:basedOn w:val="Standaard"/>
    <w:next w:val="Standaard"/>
    <w:link w:val="Kop2Char"/>
    <w:uiPriority w:val="9"/>
    <w:unhideWhenUsed/>
    <w:qFormat/>
    <w:rsid w:val="00312C71"/>
    <w:pPr>
      <w:numPr>
        <w:ilvl w:val="1"/>
        <w:numId w:val="14"/>
      </w:numPr>
      <w:outlineLvl w:val="1"/>
    </w:pPr>
    <w:rPr>
      <w:szCs w:val="20"/>
    </w:rPr>
  </w:style>
  <w:style w:type="paragraph" w:styleId="Kop3">
    <w:name w:val="heading 3"/>
    <w:basedOn w:val="Standaard"/>
    <w:next w:val="Standaard"/>
    <w:link w:val="Kop3Char"/>
    <w:uiPriority w:val="9"/>
    <w:semiHidden/>
    <w:unhideWhenUsed/>
    <w:rsid w:val="00312C71"/>
    <w:pPr>
      <w:keepNext/>
      <w:keepLines/>
      <w:spacing w:before="40"/>
      <w:outlineLvl w:val="2"/>
    </w:pPr>
    <w:rPr>
      <w:rFonts w:asciiTheme="majorHAnsi" w:eastAsiaTheme="majorEastAsia" w:hAnsiTheme="majorHAnsi" w:cstheme="majorBidi"/>
      <w:color w:val="005576" w:themeColor="accent1" w:themeShade="7F"/>
      <w:sz w:val="24"/>
      <w:szCs w:val="24"/>
    </w:rPr>
  </w:style>
  <w:style w:type="paragraph" w:styleId="Kop4">
    <w:name w:val="heading 4"/>
    <w:basedOn w:val="Standaard"/>
    <w:next w:val="Standaard"/>
    <w:link w:val="Kop4Char"/>
    <w:uiPriority w:val="9"/>
    <w:semiHidden/>
    <w:unhideWhenUsed/>
    <w:qFormat/>
    <w:rsid w:val="00312C71"/>
    <w:pPr>
      <w:keepNext/>
      <w:keepLines/>
      <w:numPr>
        <w:ilvl w:val="3"/>
        <w:numId w:val="14"/>
      </w:numPr>
      <w:spacing w:before="40"/>
      <w:outlineLvl w:val="3"/>
    </w:pPr>
    <w:rPr>
      <w:rFonts w:asciiTheme="majorHAnsi" w:eastAsiaTheme="majorEastAsia" w:hAnsiTheme="majorHAnsi" w:cstheme="majorBidi"/>
      <w:i/>
      <w:iCs/>
      <w:color w:val="0081B2" w:themeColor="accent1" w:themeShade="BF"/>
    </w:rPr>
  </w:style>
  <w:style w:type="paragraph" w:styleId="Kop5">
    <w:name w:val="heading 5"/>
    <w:basedOn w:val="Standaard"/>
    <w:next w:val="Standaard"/>
    <w:link w:val="Kop5Char"/>
    <w:uiPriority w:val="9"/>
    <w:semiHidden/>
    <w:unhideWhenUsed/>
    <w:qFormat/>
    <w:rsid w:val="00312C71"/>
    <w:pPr>
      <w:keepNext/>
      <w:keepLines/>
      <w:numPr>
        <w:ilvl w:val="4"/>
        <w:numId w:val="14"/>
      </w:numPr>
      <w:spacing w:before="40"/>
      <w:outlineLvl w:val="4"/>
    </w:pPr>
    <w:rPr>
      <w:rFonts w:asciiTheme="majorHAnsi" w:eastAsiaTheme="majorEastAsia" w:hAnsiTheme="majorHAnsi" w:cstheme="majorBidi"/>
      <w:color w:val="0081B2" w:themeColor="accent1" w:themeShade="BF"/>
    </w:rPr>
  </w:style>
  <w:style w:type="paragraph" w:styleId="Kop6">
    <w:name w:val="heading 6"/>
    <w:basedOn w:val="Standaard"/>
    <w:next w:val="Standaard"/>
    <w:link w:val="Kop6Char"/>
    <w:uiPriority w:val="9"/>
    <w:semiHidden/>
    <w:unhideWhenUsed/>
    <w:qFormat/>
    <w:rsid w:val="00312C71"/>
    <w:pPr>
      <w:keepNext/>
      <w:keepLines/>
      <w:numPr>
        <w:ilvl w:val="5"/>
        <w:numId w:val="14"/>
      </w:numPr>
      <w:spacing w:before="40"/>
      <w:outlineLvl w:val="5"/>
    </w:pPr>
    <w:rPr>
      <w:rFonts w:asciiTheme="majorHAnsi" w:eastAsiaTheme="majorEastAsia" w:hAnsiTheme="majorHAnsi" w:cstheme="majorBidi"/>
      <w:color w:val="005576" w:themeColor="accent1" w:themeShade="7F"/>
    </w:rPr>
  </w:style>
  <w:style w:type="paragraph" w:styleId="Kop7">
    <w:name w:val="heading 7"/>
    <w:basedOn w:val="Standaard"/>
    <w:next w:val="Standaard"/>
    <w:link w:val="Kop7Char"/>
    <w:uiPriority w:val="9"/>
    <w:semiHidden/>
    <w:unhideWhenUsed/>
    <w:qFormat/>
    <w:rsid w:val="00312C71"/>
    <w:pPr>
      <w:keepNext/>
      <w:keepLines/>
      <w:numPr>
        <w:ilvl w:val="6"/>
        <w:numId w:val="14"/>
      </w:numPr>
      <w:spacing w:before="40"/>
      <w:outlineLvl w:val="6"/>
    </w:pPr>
    <w:rPr>
      <w:rFonts w:asciiTheme="majorHAnsi" w:eastAsiaTheme="majorEastAsia" w:hAnsiTheme="majorHAnsi" w:cstheme="majorBidi"/>
      <w:i/>
      <w:iCs/>
      <w:color w:val="005576" w:themeColor="accent1" w:themeShade="7F"/>
    </w:rPr>
  </w:style>
  <w:style w:type="paragraph" w:styleId="Kop8">
    <w:name w:val="heading 8"/>
    <w:basedOn w:val="Standaard"/>
    <w:next w:val="Standaard"/>
    <w:link w:val="Kop8Char"/>
    <w:uiPriority w:val="9"/>
    <w:semiHidden/>
    <w:unhideWhenUsed/>
    <w:qFormat/>
    <w:rsid w:val="00312C7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12C7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728FF"/>
    <w:pPr>
      <w:tabs>
        <w:tab w:val="center" w:pos="4153"/>
        <w:tab w:val="right" w:pos="8306"/>
      </w:tabs>
    </w:pPr>
    <w:rPr>
      <w:noProof/>
    </w:rPr>
  </w:style>
  <w:style w:type="character" w:customStyle="1" w:styleId="KoptekstChar">
    <w:name w:val="Koptekst Char"/>
    <w:basedOn w:val="Standaardalinea-lettertype"/>
    <w:link w:val="Koptekst"/>
    <w:rsid w:val="00A728FF"/>
    <w:rPr>
      <w:rFonts w:ascii="Arial" w:hAnsi="Arial"/>
      <w:noProof/>
      <w:sz w:val="18"/>
      <w:szCs w:val="18"/>
    </w:rPr>
  </w:style>
  <w:style w:type="table" w:styleId="Tabelraster">
    <w:name w:val="Table Grid"/>
    <w:basedOn w:val="Standaardtabel"/>
    <w:rsid w:val="009028D3"/>
    <w:pPr>
      <w:spacing w:after="0" w:line="28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F58DD"/>
    <w:pPr>
      <w:spacing w:line="220" w:lineRule="exact"/>
      <w:ind w:right="-851"/>
      <w:jc w:val="right"/>
    </w:pPr>
    <w:rPr>
      <w:rFonts w:asciiTheme="majorHAnsi" w:hAnsiTheme="majorHAnsi" w:cstheme="majorHAnsi"/>
      <w:b/>
      <w:noProof/>
      <w:color w:val="00ADEE" w:themeColor="accent1"/>
    </w:rPr>
  </w:style>
  <w:style w:type="character" w:customStyle="1" w:styleId="VoettekstChar">
    <w:name w:val="Voettekst Char"/>
    <w:basedOn w:val="Standaardalinea-lettertype"/>
    <w:link w:val="Voettekst"/>
    <w:uiPriority w:val="99"/>
    <w:rsid w:val="00DF58DD"/>
    <w:rPr>
      <w:rFonts w:asciiTheme="majorHAnsi" w:hAnsiTheme="majorHAnsi" w:cstheme="majorHAnsi"/>
      <w:b/>
      <w:noProof/>
      <w:color w:val="00ADEE" w:themeColor="accent1"/>
      <w:sz w:val="20"/>
      <w:szCs w:val="16"/>
    </w:rPr>
  </w:style>
  <w:style w:type="paragraph" w:styleId="Ballontekst">
    <w:name w:val="Balloon Text"/>
    <w:basedOn w:val="Standaard"/>
    <w:link w:val="BallontekstChar"/>
    <w:uiPriority w:val="99"/>
    <w:semiHidden/>
    <w:unhideWhenUsed/>
    <w:rsid w:val="00D538BE"/>
    <w:rPr>
      <w:rFonts w:ascii="Tahoma" w:hAnsi="Tahoma" w:cs="Tahoma"/>
    </w:rPr>
  </w:style>
  <w:style w:type="character" w:customStyle="1" w:styleId="BallontekstChar">
    <w:name w:val="Ballontekst Char"/>
    <w:basedOn w:val="Standaardalinea-lettertype"/>
    <w:link w:val="Ballontekst"/>
    <w:uiPriority w:val="99"/>
    <w:semiHidden/>
    <w:rsid w:val="00D538BE"/>
    <w:rPr>
      <w:rFonts w:ascii="Tahoma" w:hAnsi="Tahoma" w:cs="Tahoma"/>
      <w:color w:val="1A181B"/>
      <w:sz w:val="16"/>
      <w:szCs w:val="16"/>
    </w:rPr>
  </w:style>
  <w:style w:type="character" w:customStyle="1" w:styleId="Kop1Char">
    <w:name w:val="Kop 1 Char"/>
    <w:basedOn w:val="Standaardalinea-lettertype"/>
    <w:link w:val="Kop1"/>
    <w:uiPriority w:val="9"/>
    <w:rsid w:val="002B0684"/>
    <w:rPr>
      <w:rFonts w:asciiTheme="majorHAnsi" w:hAnsiTheme="majorHAnsi" w:cstheme="majorHAnsi"/>
      <w:b/>
      <w:color w:val="00ADEE" w:themeColor="accent1"/>
      <w:sz w:val="20"/>
      <w:szCs w:val="18"/>
    </w:rPr>
  </w:style>
  <w:style w:type="character" w:customStyle="1" w:styleId="Kop2Char">
    <w:name w:val="Kop 2 Char"/>
    <w:basedOn w:val="Standaardalinea-lettertype"/>
    <w:link w:val="Kop2"/>
    <w:uiPriority w:val="9"/>
    <w:rsid w:val="00312C71"/>
    <w:rPr>
      <w:rFonts w:asciiTheme="minorHAnsi" w:hAnsiTheme="minorHAnsi" w:cs="Open Sans"/>
      <w:sz w:val="20"/>
      <w:szCs w:val="20"/>
    </w:rPr>
  </w:style>
  <w:style w:type="paragraph" w:customStyle="1" w:styleId="Nummering">
    <w:name w:val="Nummering"/>
    <w:basedOn w:val="Standaard"/>
    <w:uiPriority w:val="1"/>
    <w:qFormat/>
    <w:rsid w:val="0042093E"/>
    <w:pPr>
      <w:numPr>
        <w:ilvl w:val="2"/>
        <w:numId w:val="14"/>
      </w:numPr>
      <w:spacing w:line="360" w:lineRule="exact"/>
      <w:jc w:val="right"/>
    </w:pPr>
    <w:rPr>
      <w:rFonts w:eastAsia="Times New Roman"/>
      <w:lang w:eastAsia="nl-NL"/>
    </w:rPr>
  </w:style>
  <w:style w:type="paragraph" w:customStyle="1" w:styleId="Opsomming">
    <w:name w:val="Opsomming"/>
    <w:basedOn w:val="Standaard"/>
    <w:uiPriority w:val="1"/>
    <w:qFormat/>
    <w:rsid w:val="00312C71"/>
    <w:pPr>
      <w:numPr>
        <w:numId w:val="3"/>
      </w:numPr>
    </w:pPr>
  </w:style>
  <w:style w:type="paragraph" w:styleId="Citaat">
    <w:name w:val="Quote"/>
    <w:basedOn w:val="Standaard"/>
    <w:next w:val="Standaard"/>
    <w:link w:val="CitaatChar"/>
    <w:uiPriority w:val="10"/>
    <w:rsid w:val="00B84F3E"/>
    <w:pPr>
      <w:ind w:left="1276" w:right="862"/>
    </w:pPr>
    <w:rPr>
      <w:i/>
      <w:iCs/>
      <w:noProof/>
      <w:color w:val="000000" w:themeColor="text1"/>
      <w:sz w:val="30"/>
      <w:szCs w:val="30"/>
    </w:rPr>
  </w:style>
  <w:style w:type="character" w:styleId="Tekstvantijdelijkeaanduiding">
    <w:name w:val="Placeholder Text"/>
    <w:basedOn w:val="Standaardalinea-lettertype"/>
    <w:uiPriority w:val="99"/>
    <w:semiHidden/>
    <w:rsid w:val="00143DEA"/>
    <w:rPr>
      <w:color w:val="808080"/>
    </w:rPr>
  </w:style>
  <w:style w:type="character" w:styleId="Hyperlink">
    <w:name w:val="Hyperlink"/>
    <w:basedOn w:val="Standaardalinea-lettertype"/>
    <w:uiPriority w:val="99"/>
    <w:unhideWhenUsed/>
    <w:rsid w:val="00B20C1D"/>
    <w:rPr>
      <w:color w:val="000000" w:themeColor="hyperlink"/>
      <w:u w:val="single"/>
    </w:rPr>
  </w:style>
  <w:style w:type="character" w:customStyle="1" w:styleId="Onopgelostemelding1">
    <w:name w:val="Onopgeloste melding1"/>
    <w:basedOn w:val="Standaardalinea-lettertype"/>
    <w:uiPriority w:val="99"/>
    <w:semiHidden/>
    <w:unhideWhenUsed/>
    <w:rsid w:val="00B20C1D"/>
    <w:rPr>
      <w:color w:val="808080"/>
      <w:shd w:val="clear" w:color="auto" w:fill="E6E6E6"/>
    </w:rPr>
  </w:style>
  <w:style w:type="character" w:customStyle="1" w:styleId="CitaatChar">
    <w:name w:val="Citaat Char"/>
    <w:basedOn w:val="Standaardalinea-lettertype"/>
    <w:link w:val="Citaat"/>
    <w:uiPriority w:val="10"/>
    <w:rsid w:val="00B84F3E"/>
    <w:rPr>
      <w:rFonts w:asciiTheme="minorHAnsi" w:hAnsiTheme="minorHAnsi" w:cs="Open Sans"/>
      <w:i/>
      <w:iCs/>
      <w:noProof/>
      <w:color w:val="000000" w:themeColor="text1"/>
      <w:sz w:val="30"/>
      <w:szCs w:val="30"/>
    </w:rPr>
  </w:style>
  <w:style w:type="paragraph" w:customStyle="1" w:styleId="Briefhoofd">
    <w:name w:val="Briefhoofd"/>
    <w:basedOn w:val="Standaard"/>
    <w:uiPriority w:val="12"/>
    <w:rsid w:val="00F00D0E"/>
    <w:pPr>
      <w:spacing w:line="216" w:lineRule="auto"/>
    </w:pPr>
    <w:rPr>
      <w:rFonts w:eastAsia="Times New Roman"/>
      <w:noProof/>
      <w:color w:val="00ADEE" w:themeColor="accent1"/>
      <w:lang w:eastAsia="nl-NL"/>
    </w:rPr>
  </w:style>
  <w:style w:type="paragraph" w:customStyle="1" w:styleId="Naam">
    <w:name w:val="Naam"/>
    <w:basedOn w:val="Briefhoofd"/>
    <w:uiPriority w:val="11"/>
    <w:rsid w:val="00500A7B"/>
    <w:pPr>
      <w:spacing w:line="240" w:lineRule="auto"/>
    </w:pPr>
    <w:rPr>
      <w:rFonts w:asciiTheme="majorHAnsi" w:hAnsiTheme="majorHAnsi"/>
      <w:caps/>
    </w:rPr>
  </w:style>
  <w:style w:type="paragraph" w:customStyle="1" w:styleId="Item">
    <w:name w:val="Item"/>
    <w:basedOn w:val="Standaard"/>
    <w:rsid w:val="009C378C"/>
    <w:pPr>
      <w:spacing w:line="240" w:lineRule="auto"/>
    </w:pPr>
    <w:rPr>
      <w:rFonts w:asciiTheme="majorHAnsi" w:eastAsia="Times New Roman" w:hAnsiTheme="majorHAnsi"/>
      <w:b/>
      <w:noProof/>
      <w:color w:val="00ADEE" w:themeColor="text2"/>
      <w:sz w:val="14"/>
      <w:lang w:eastAsia="nl-NL"/>
    </w:rPr>
  </w:style>
  <w:style w:type="paragraph" w:customStyle="1" w:styleId="ItemTekst">
    <w:name w:val="ItemTekst"/>
    <w:basedOn w:val="Standaard"/>
    <w:rsid w:val="002B0684"/>
    <w:pPr>
      <w:spacing w:line="360" w:lineRule="exact"/>
    </w:pPr>
    <w:rPr>
      <w:rFonts w:eastAsia="Times New Roman"/>
      <w:lang w:eastAsia="nl-NL"/>
    </w:rPr>
  </w:style>
  <w:style w:type="paragraph" w:customStyle="1" w:styleId="ItemtekstEnkel">
    <w:name w:val="ItemtekstEnkel"/>
    <w:basedOn w:val="Standaard"/>
    <w:rsid w:val="002B0684"/>
    <w:pPr>
      <w:spacing w:line="220" w:lineRule="exact"/>
    </w:pPr>
    <w:rPr>
      <w:rFonts w:eastAsia="Times New Roman"/>
      <w:sz w:val="14"/>
      <w:lang w:eastAsia="nl-NL"/>
    </w:rPr>
  </w:style>
  <w:style w:type="paragraph" w:customStyle="1" w:styleId="Tussenkop">
    <w:name w:val="Tussenkop"/>
    <w:basedOn w:val="Standaard"/>
    <w:next w:val="Standaard"/>
    <w:uiPriority w:val="10"/>
    <w:qFormat/>
    <w:rsid w:val="0042093E"/>
    <w:pPr>
      <w:spacing w:line="360" w:lineRule="exact"/>
    </w:pPr>
    <w:rPr>
      <w:rFonts w:eastAsia="Times New Roman"/>
      <w:color w:val="00ADEE" w:themeColor="accent1"/>
      <w:lang w:eastAsia="nl-NL"/>
    </w:rPr>
  </w:style>
  <w:style w:type="character" w:customStyle="1" w:styleId="Kop3Char">
    <w:name w:val="Kop 3 Char"/>
    <w:basedOn w:val="Standaardalinea-lettertype"/>
    <w:link w:val="Kop3"/>
    <w:uiPriority w:val="9"/>
    <w:semiHidden/>
    <w:rsid w:val="00312C71"/>
    <w:rPr>
      <w:rFonts w:asciiTheme="majorHAnsi" w:eastAsiaTheme="majorEastAsia" w:hAnsiTheme="majorHAnsi" w:cstheme="majorBidi"/>
      <w:color w:val="005576" w:themeColor="accent1" w:themeShade="7F"/>
      <w:sz w:val="24"/>
      <w:szCs w:val="24"/>
    </w:rPr>
  </w:style>
  <w:style w:type="character" w:customStyle="1" w:styleId="Kop4Char">
    <w:name w:val="Kop 4 Char"/>
    <w:basedOn w:val="Standaardalinea-lettertype"/>
    <w:link w:val="Kop4"/>
    <w:uiPriority w:val="9"/>
    <w:semiHidden/>
    <w:rsid w:val="00312C71"/>
    <w:rPr>
      <w:rFonts w:asciiTheme="majorHAnsi" w:eastAsiaTheme="majorEastAsia" w:hAnsiTheme="majorHAnsi" w:cstheme="majorBidi"/>
      <w:i/>
      <w:iCs/>
      <w:color w:val="0081B2" w:themeColor="accent1" w:themeShade="BF"/>
      <w:sz w:val="18"/>
      <w:szCs w:val="16"/>
    </w:rPr>
  </w:style>
  <w:style w:type="character" w:customStyle="1" w:styleId="Kop5Char">
    <w:name w:val="Kop 5 Char"/>
    <w:basedOn w:val="Standaardalinea-lettertype"/>
    <w:link w:val="Kop5"/>
    <w:uiPriority w:val="9"/>
    <w:semiHidden/>
    <w:rsid w:val="00312C71"/>
    <w:rPr>
      <w:rFonts w:asciiTheme="majorHAnsi" w:eastAsiaTheme="majorEastAsia" w:hAnsiTheme="majorHAnsi" w:cstheme="majorBidi"/>
      <w:color w:val="0081B2" w:themeColor="accent1" w:themeShade="BF"/>
      <w:sz w:val="18"/>
      <w:szCs w:val="16"/>
    </w:rPr>
  </w:style>
  <w:style w:type="character" w:customStyle="1" w:styleId="Kop6Char">
    <w:name w:val="Kop 6 Char"/>
    <w:basedOn w:val="Standaardalinea-lettertype"/>
    <w:link w:val="Kop6"/>
    <w:uiPriority w:val="9"/>
    <w:semiHidden/>
    <w:rsid w:val="00312C71"/>
    <w:rPr>
      <w:rFonts w:asciiTheme="majorHAnsi" w:eastAsiaTheme="majorEastAsia" w:hAnsiTheme="majorHAnsi" w:cstheme="majorBidi"/>
      <w:color w:val="005576" w:themeColor="accent1" w:themeShade="7F"/>
      <w:sz w:val="18"/>
      <w:szCs w:val="16"/>
    </w:rPr>
  </w:style>
  <w:style w:type="character" w:customStyle="1" w:styleId="Kop7Char">
    <w:name w:val="Kop 7 Char"/>
    <w:basedOn w:val="Standaardalinea-lettertype"/>
    <w:link w:val="Kop7"/>
    <w:uiPriority w:val="9"/>
    <w:semiHidden/>
    <w:rsid w:val="00312C71"/>
    <w:rPr>
      <w:rFonts w:asciiTheme="majorHAnsi" w:eastAsiaTheme="majorEastAsia" w:hAnsiTheme="majorHAnsi" w:cstheme="majorBidi"/>
      <w:i/>
      <w:iCs/>
      <w:color w:val="005576" w:themeColor="accent1" w:themeShade="7F"/>
      <w:sz w:val="18"/>
      <w:szCs w:val="16"/>
    </w:rPr>
  </w:style>
  <w:style w:type="character" w:customStyle="1" w:styleId="Kop8Char">
    <w:name w:val="Kop 8 Char"/>
    <w:basedOn w:val="Standaardalinea-lettertype"/>
    <w:link w:val="Kop8"/>
    <w:uiPriority w:val="9"/>
    <w:semiHidden/>
    <w:rsid w:val="00312C7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12C71"/>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rsid w:val="006E23A5"/>
    <w:pPr>
      <w:jc w:val="right"/>
    </w:pPr>
    <w:rPr>
      <w:rFonts w:asciiTheme="majorHAnsi" w:hAnsiTheme="majorHAnsi" w:cstheme="majorHAnsi"/>
      <w:b/>
      <w:color w:val="00ADEE" w:themeColor="accent1"/>
      <w:sz w:val="36"/>
      <w:szCs w:val="36"/>
    </w:rPr>
  </w:style>
  <w:style w:type="character" w:customStyle="1" w:styleId="TitelChar">
    <w:name w:val="Titel Char"/>
    <w:basedOn w:val="Standaardalinea-lettertype"/>
    <w:link w:val="Titel"/>
    <w:uiPriority w:val="10"/>
    <w:rsid w:val="006E23A5"/>
    <w:rPr>
      <w:rFonts w:asciiTheme="majorHAnsi" w:hAnsiTheme="majorHAnsi" w:cstheme="majorHAnsi"/>
      <w:b/>
      <w:color w:val="00ADEE" w:themeColor="accent1"/>
      <w:sz w:val="36"/>
      <w:szCs w:val="36"/>
    </w:rPr>
  </w:style>
  <w:style w:type="paragraph" w:customStyle="1" w:styleId="ItemPag1">
    <w:name w:val="ItemPag1"/>
    <w:basedOn w:val="Item"/>
    <w:rsid w:val="002B0684"/>
    <w:pPr>
      <w:spacing w:line="360" w:lineRule="exact"/>
      <w:jc w:val="right"/>
    </w:pPr>
    <w:rPr>
      <w:rFonts w:asciiTheme="minorHAnsi" w:hAnsiTheme="minorHAnsi"/>
      <w:b w:val="0"/>
      <w:sz w:val="20"/>
    </w:rPr>
  </w:style>
  <w:style w:type="paragraph" w:styleId="Lijstalinea">
    <w:name w:val="List Paragraph"/>
    <w:basedOn w:val="Standaard"/>
    <w:uiPriority w:val="34"/>
    <w:rsid w:val="00936337"/>
    <w:pPr>
      <w:ind w:left="720"/>
      <w:contextualSpacing/>
    </w:pPr>
  </w:style>
  <w:style w:type="character" w:styleId="Verwijzingopmerking">
    <w:name w:val="annotation reference"/>
    <w:basedOn w:val="Standaardalinea-lettertype"/>
    <w:uiPriority w:val="99"/>
    <w:semiHidden/>
    <w:unhideWhenUsed/>
    <w:rsid w:val="007124C6"/>
    <w:rPr>
      <w:sz w:val="16"/>
      <w:szCs w:val="16"/>
    </w:rPr>
  </w:style>
  <w:style w:type="paragraph" w:styleId="Tekstopmerking">
    <w:name w:val="annotation text"/>
    <w:basedOn w:val="Standaard"/>
    <w:link w:val="TekstopmerkingChar"/>
    <w:uiPriority w:val="99"/>
    <w:semiHidden/>
    <w:unhideWhenUsed/>
    <w:rsid w:val="007124C6"/>
    <w:pPr>
      <w:spacing w:line="240" w:lineRule="auto"/>
    </w:pPr>
    <w:rPr>
      <w:szCs w:val="20"/>
    </w:rPr>
  </w:style>
  <w:style w:type="character" w:customStyle="1" w:styleId="TekstopmerkingChar">
    <w:name w:val="Tekst opmerking Char"/>
    <w:basedOn w:val="Standaardalinea-lettertype"/>
    <w:link w:val="Tekstopmerking"/>
    <w:uiPriority w:val="99"/>
    <w:semiHidden/>
    <w:rsid w:val="007124C6"/>
    <w:rPr>
      <w:rFonts w:asciiTheme="minorHAnsi" w:hAnsiTheme="minorHAnsi" w:cs="Open Sans"/>
      <w:sz w:val="20"/>
      <w:szCs w:val="20"/>
    </w:rPr>
  </w:style>
  <w:style w:type="paragraph" w:styleId="Onderwerpvanopmerking">
    <w:name w:val="annotation subject"/>
    <w:basedOn w:val="Tekstopmerking"/>
    <w:next w:val="Tekstopmerking"/>
    <w:link w:val="OnderwerpvanopmerkingChar"/>
    <w:uiPriority w:val="99"/>
    <w:semiHidden/>
    <w:unhideWhenUsed/>
    <w:rsid w:val="007124C6"/>
    <w:rPr>
      <w:b/>
      <w:bCs/>
    </w:rPr>
  </w:style>
  <w:style w:type="character" w:customStyle="1" w:styleId="OnderwerpvanopmerkingChar">
    <w:name w:val="Onderwerp van opmerking Char"/>
    <w:basedOn w:val="TekstopmerkingChar"/>
    <w:link w:val="Onderwerpvanopmerking"/>
    <w:uiPriority w:val="99"/>
    <w:semiHidden/>
    <w:rsid w:val="007124C6"/>
    <w:rPr>
      <w:rFonts w:asciiTheme="minorHAnsi" w:hAnsiTheme="minorHAnsi" w:cs="Open Sans"/>
      <w:b/>
      <w:bCs/>
      <w:sz w:val="20"/>
      <w:szCs w:val="20"/>
    </w:rPr>
  </w:style>
  <w:style w:type="character" w:styleId="Onopgelostemelding">
    <w:name w:val="Unresolved Mention"/>
    <w:basedOn w:val="Standaardalinea-lettertype"/>
    <w:uiPriority w:val="99"/>
    <w:semiHidden/>
    <w:unhideWhenUsed/>
    <w:rsid w:val="00C5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dischehelpdesk@collegepz.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CPZ">
      <a:dk1>
        <a:sysClr val="windowText" lastClr="000000"/>
      </a:dk1>
      <a:lt1>
        <a:sysClr val="window" lastClr="FFFFFF"/>
      </a:lt1>
      <a:dk2>
        <a:srgbClr val="00ADEE"/>
      </a:dk2>
      <a:lt2>
        <a:srgbClr val="EEECE1"/>
      </a:lt2>
      <a:accent1>
        <a:srgbClr val="00ADEE"/>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Aangepast 13">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customTab1" label="CPZ" insertBeforeMso="TabHome">
        <group id="Speciaal" label="Speciale functies">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7" ma:contentTypeDescription="Een nieuw document maken." ma:contentTypeScope="" ma:versionID="77da5b999913466c61c053880684333a">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b1b5d6960ea677db273968c6678a693a"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EB230-619E-4CE1-8CD5-A5E334FDEF30}">
  <ds:schemaRefs>
    <ds:schemaRef ds:uri="http://purl.org/dc/terms/"/>
    <ds:schemaRef ds:uri="http://schemas.openxmlformats.org/package/2006/metadata/core-properties"/>
    <ds:schemaRef ds:uri="ec9541f1-3b43-482c-a8de-1b403dece07c"/>
    <ds:schemaRef ds:uri="http://schemas.microsoft.com/office/2006/documentManagement/types"/>
    <ds:schemaRef ds:uri="http://schemas.microsoft.com/office/infopath/2007/PartnerControls"/>
    <ds:schemaRef ds:uri="http://purl.org/dc/elements/1.1/"/>
    <ds:schemaRef ds:uri="http://schemas.microsoft.com/office/2006/metadata/properties"/>
    <ds:schemaRef ds:uri="18bc3f94-dfc0-4b96-9f8a-0e5bbfb16367"/>
    <ds:schemaRef ds:uri="bf4a096b-ecb1-4e85-a1e0-80c521e034ab"/>
    <ds:schemaRef ds:uri="http://www.w3.org/XML/1998/namespace"/>
    <ds:schemaRef ds:uri="http://purl.org/dc/dcmitype/"/>
  </ds:schemaRefs>
</ds:datastoreItem>
</file>

<file path=customXml/itemProps3.xml><?xml version="1.0" encoding="utf-8"?>
<ds:datastoreItem xmlns:ds="http://schemas.openxmlformats.org/officeDocument/2006/customXml" ds:itemID="{53211534-69D9-4EF5-BD00-7D9A9F0EF4D5}">
  <ds:schemaRefs>
    <ds:schemaRef ds:uri="http://schemas.microsoft.com/sharepoint/v3/contenttype/forms"/>
  </ds:schemaRefs>
</ds:datastoreItem>
</file>

<file path=customXml/itemProps4.xml><?xml version="1.0" encoding="utf-8"?>
<ds:datastoreItem xmlns:ds="http://schemas.openxmlformats.org/officeDocument/2006/customXml" ds:itemID="{FC18A960-73F5-418A-B9AD-2D590372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9915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2019-10-01T07:18:00Z</dcterms:created>
  <dcterms:modified xsi:type="dcterms:W3CDTF">2019-10-01T07:18:00Z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y fmtid="{D5CDD505-2E9C-101B-9397-08002B2CF9AE}" pid="3" name="AuthorIds_UIVersion_10">
    <vt:lpwstr>736</vt:lpwstr>
  </property>
</Properties>
</file>