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991"/>
        <w:gridCol w:w="2552"/>
        <w:gridCol w:w="4394"/>
        <w:gridCol w:w="4158"/>
        <w:gridCol w:w="1362"/>
      </w:tblGrid>
      <w:tr w:rsidR="008D7A2C" w:rsidRPr="007811F8" w:rsidTr="00722186">
        <w:tc>
          <w:tcPr>
            <w:tcW w:w="13939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B5631A" w:rsidRDefault="00B5631A" w:rsidP="007811F8">
            <w:pPr>
              <w:rPr>
                <w:rFonts w:ascii="Open Sans" w:hAnsi="Open Sans" w:cs="Open Sans"/>
                <w:b/>
                <w:sz w:val="24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048250" cy="1014947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sclaimer voorbeeld regio liggend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830" cy="1028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31A" w:rsidRDefault="00B5631A" w:rsidP="007811F8">
            <w:pPr>
              <w:rPr>
                <w:rFonts w:ascii="Open Sans" w:hAnsi="Open Sans" w:cs="Open Sans"/>
                <w:b/>
                <w:sz w:val="24"/>
              </w:rPr>
            </w:pPr>
          </w:p>
          <w:p w:rsidR="008D7A2C" w:rsidRDefault="007811F8" w:rsidP="007811F8">
            <w:pPr>
              <w:rPr>
                <w:rFonts w:ascii="Open Sans" w:hAnsi="Open Sans" w:cs="Open Sans"/>
                <w:b/>
                <w:sz w:val="24"/>
              </w:rPr>
            </w:pPr>
            <w:r w:rsidRPr="00175E4D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6BF5F4C8" wp14:editId="55BC7C30">
                  <wp:simplePos x="0" y="0"/>
                  <wp:positionH relativeFrom="column">
                    <wp:posOffset>7201535</wp:posOffset>
                  </wp:positionH>
                  <wp:positionV relativeFrom="paragraph">
                    <wp:posOffset>26670</wp:posOffset>
                  </wp:positionV>
                  <wp:extent cx="937895" cy="752900"/>
                  <wp:effectExtent l="0" t="0" r="0" b="9525"/>
                  <wp:wrapNone/>
                  <wp:docPr id="2" name="Afbeelding 5" descr="Geboortehar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Geboortehar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5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7A2C" w:rsidRPr="007811F8">
              <w:rPr>
                <w:rFonts w:ascii="Open Sans" w:hAnsi="Open Sans" w:cs="Open Sans"/>
                <w:b/>
                <w:sz w:val="24"/>
              </w:rPr>
              <w:t xml:space="preserve">Standaardschema chronische hypertensie </w:t>
            </w:r>
          </w:p>
          <w:p w:rsidR="007811F8" w:rsidRDefault="007811F8" w:rsidP="007811F8">
            <w:pPr>
              <w:rPr>
                <w:rFonts w:ascii="Open Sans" w:hAnsi="Open Sans" w:cs="Open Sans"/>
                <w:b/>
                <w:sz w:val="24"/>
              </w:rPr>
            </w:pPr>
          </w:p>
          <w:p w:rsidR="007811F8" w:rsidRDefault="007811F8" w:rsidP="007811F8">
            <w:pPr>
              <w:rPr>
                <w:rFonts w:ascii="Open Sans" w:hAnsi="Open Sans" w:cs="Open Sans"/>
                <w:b/>
                <w:sz w:val="24"/>
              </w:rPr>
            </w:pPr>
          </w:p>
          <w:p w:rsidR="007811F8" w:rsidRPr="007811F8" w:rsidRDefault="007811F8" w:rsidP="007811F8">
            <w:pPr>
              <w:rPr>
                <w:rFonts w:ascii="Open Sans" w:hAnsi="Open Sans" w:cs="Open Sans"/>
                <w:b/>
                <w:sz w:val="24"/>
              </w:rPr>
            </w:pPr>
          </w:p>
        </w:tc>
        <w:tc>
          <w:tcPr>
            <w:tcW w:w="1362" w:type="dxa"/>
            <w:tcBorders>
              <w:left w:val="nil"/>
            </w:tcBorders>
            <w:shd w:val="clear" w:color="auto" w:fill="D9D9D9" w:themeFill="background1" w:themeFillShade="D9"/>
          </w:tcPr>
          <w:p w:rsidR="008D7A2C" w:rsidRDefault="00624C4E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5-7-2016</w:t>
            </w:r>
          </w:p>
          <w:p w:rsidR="007811F8" w:rsidRDefault="007811F8">
            <w:pPr>
              <w:rPr>
                <w:rFonts w:ascii="Open Sans" w:hAnsi="Open Sans" w:cs="Open Sans"/>
                <w:sz w:val="24"/>
              </w:rPr>
            </w:pPr>
          </w:p>
          <w:p w:rsidR="007811F8" w:rsidRPr="007811F8" w:rsidRDefault="007811F8">
            <w:pPr>
              <w:rPr>
                <w:rFonts w:ascii="Open Sans" w:hAnsi="Open Sans" w:cs="Open Sans"/>
                <w:sz w:val="24"/>
              </w:rPr>
            </w:pPr>
          </w:p>
        </w:tc>
      </w:tr>
      <w:tr w:rsidR="008D7A2C" w:rsidRPr="007811F8" w:rsidTr="00722186">
        <w:tc>
          <w:tcPr>
            <w:tcW w:w="844" w:type="dxa"/>
            <w:shd w:val="clear" w:color="auto" w:fill="D9D9D9" w:themeFill="background1" w:themeFillShade="D9"/>
          </w:tcPr>
          <w:p w:rsidR="008D7A2C" w:rsidRPr="007811F8" w:rsidRDefault="00722186" w:rsidP="007221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week</w:t>
            </w:r>
            <w:r w:rsidR="007811F8" w:rsidRPr="007811F8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8D7A2C" w:rsidRPr="007811F8" w:rsidRDefault="008D7A2C" w:rsidP="007221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b/>
                <w:sz w:val="18"/>
                <w:szCs w:val="18"/>
              </w:rPr>
              <w:t>Activiteiten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D7A2C" w:rsidRPr="007811F8" w:rsidRDefault="008D7A2C" w:rsidP="007221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b/>
                <w:sz w:val="18"/>
                <w:szCs w:val="18"/>
              </w:rPr>
              <w:t>echoscopie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D7A2C" w:rsidRPr="007811F8" w:rsidRDefault="008D7A2C" w:rsidP="00722186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b/>
                <w:sz w:val="18"/>
                <w:szCs w:val="18"/>
              </w:rPr>
              <w:t>Actiepunten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8D7A2C" w:rsidRPr="007811F8" w:rsidRDefault="008D7A2C" w:rsidP="007221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b/>
                <w:sz w:val="18"/>
                <w:szCs w:val="18"/>
              </w:rPr>
              <w:t>bijzonderheden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8D7A2C" w:rsidRPr="007811F8" w:rsidRDefault="00722186" w:rsidP="0072218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</w:t>
            </w:r>
            <w:r w:rsidR="008D7A2C" w:rsidRPr="007811F8">
              <w:rPr>
                <w:rFonts w:ascii="Open Sans" w:hAnsi="Open Sans" w:cs="Open Sans"/>
                <w:b/>
                <w:sz w:val="18"/>
                <w:szCs w:val="18"/>
              </w:rPr>
              <w:t>rofessional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6-8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</w:tcPr>
          <w:p w:rsidR="008D7A2C" w:rsidRPr="007811F8" w:rsidRDefault="008D7A2C" w:rsidP="00F00F24">
            <w:pPr>
              <w:adjustRightInd w:val="0"/>
              <w:spacing w:before="75" w:after="75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7811F8">
              <w:rPr>
                <w:rFonts w:ascii="Open Sans" w:hAnsi="Open Sans" w:cs="Open Sans"/>
                <w:iCs/>
                <w:color w:val="2A2A2A"/>
                <w:sz w:val="18"/>
                <w:szCs w:val="18"/>
                <w:lang w:eastAsia="en-US"/>
              </w:rPr>
              <w:t>Chronische hypertensie:</w:t>
            </w:r>
            <w:r w:rsidRPr="007811F8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 xml:space="preserve"> diastolische RR ≥90mmHg en/of systolische RR ≥140mmHg voorafgaand aan de zwangerschap of bij een zwangerschapsduur &lt;20 </w:t>
            </w:r>
            <w:proofErr w:type="spellStart"/>
            <w:r w:rsidRPr="007811F8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wk</w:t>
            </w:r>
            <w:proofErr w:type="spellEnd"/>
            <w:r w:rsidRPr="007811F8"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58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Pre</w:t>
            </w:r>
            <w:r w:rsidR="007811F8" w:rsidRPr="007811F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conceptioneel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 advies gehad? </w:t>
            </w:r>
          </w:p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Ja: verifieer dit en counsel nogmaals</w:t>
            </w:r>
          </w:p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Nee: Controleer medicatie, zie protocol voor counseling </w:t>
            </w:r>
            <w:r w:rsidR="007811F8" w:rsidRPr="007811F8">
              <w:rPr>
                <w:rFonts w:ascii="Open Sans" w:hAnsi="Open Sans" w:cs="Open Sans"/>
                <w:sz w:val="18"/>
                <w:szCs w:val="18"/>
              </w:rPr>
              <w:t>m.b.t.</w:t>
            </w:r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 o.a. risico’s zwangerschap, overweeg consult internist.</w:t>
            </w:r>
          </w:p>
        </w:tc>
        <w:tc>
          <w:tcPr>
            <w:tcW w:w="1362" w:type="dxa"/>
          </w:tcPr>
          <w:p w:rsidR="007811F8" w:rsidRDefault="00B35863" w:rsidP="009369D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</w:t>
            </w:r>
            <w:r w:rsidR="008D7A2C" w:rsidRPr="007811F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8D7A2C" w:rsidRPr="007811F8" w:rsidRDefault="008D7A2C" w:rsidP="009369D4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huisarts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0" w:name="_GoBack"/>
            <w:r w:rsidRPr="007811F8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</w:tcPr>
          <w:p w:rsidR="008D7A2C" w:rsidRPr="007811F8" w:rsidRDefault="008D7A2C" w:rsidP="00F00F24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</w:pPr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bij zwangerschapsintake beperkt bloedonderzoek (</w:t>
            </w:r>
            <w:proofErr w:type="spellStart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Hb</w:t>
            </w:r>
            <w:proofErr w:type="spellEnd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Tr</w:t>
            </w:r>
            <w:proofErr w:type="spellEnd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, ALAT, LDH, </w:t>
            </w:r>
            <w:proofErr w:type="spellStart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kreatinine</w:t>
            </w:r>
            <w:proofErr w:type="spellEnd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) en uitsluiten proteïnurie (EKR)</w:t>
            </w:r>
          </w:p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• bloeddrukbehandeling vergelijkbaar met buiten de zwangerschap (behoudens iets hogere target</w:t>
            </w:r>
            <w:r w:rsidR="007811F8"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RR en beperktere keuze medicatie)</w:t>
            </w:r>
          </w:p>
        </w:tc>
        <w:tc>
          <w:tcPr>
            <w:tcW w:w="4158" w:type="dxa"/>
          </w:tcPr>
          <w:p w:rsidR="008D7A2C" w:rsidRPr="007811F8" w:rsidRDefault="008D7A2C" w:rsidP="007E51C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2" w:type="dxa"/>
          </w:tcPr>
          <w:p w:rsidR="008D7A2C" w:rsidRPr="007811F8" w:rsidRDefault="00B35863" w:rsidP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ZW3</w:t>
            </w:r>
          </w:p>
        </w:tc>
      </w:tr>
      <w:bookmarkEnd w:id="0"/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 w:rsidP="009369D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</w:tcPr>
          <w:p w:rsidR="008D7A2C" w:rsidRPr="007811F8" w:rsidRDefault="008D7A2C">
            <w:pPr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</w:pPr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Voor vrouwen met een chronische hypertensie dient in de zwangerschap een target bloeddruk vastgesteld te worden. Dit mag hoger zijn dan </w:t>
            </w:r>
            <w:proofErr w:type="spellStart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preconceptioneel</w:t>
            </w:r>
            <w:proofErr w:type="spellEnd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, een advies range is 140-160/90-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7811F8">
                <w:rPr>
                  <w:rFonts w:ascii="Open Sans" w:hAnsi="Open Sans" w:cs="Open Sans"/>
                  <w:color w:val="000000"/>
                  <w:sz w:val="18"/>
                  <w:szCs w:val="18"/>
                  <w:lang w:eastAsia="en-US"/>
                </w:rPr>
                <w:t>100 mm</w:t>
              </w:r>
            </w:smartTag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 Hg. </w:t>
            </w:r>
          </w:p>
        </w:tc>
        <w:tc>
          <w:tcPr>
            <w:tcW w:w="4158" w:type="dxa"/>
          </w:tcPr>
          <w:p w:rsidR="008D7A2C" w:rsidRPr="007811F8" w:rsidRDefault="008D7A2C" w:rsidP="00522BE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Bij tekenen van eindorgaanschade (chronische </w:t>
            </w:r>
            <w:proofErr w:type="spellStart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proteinurie</w:t>
            </w:r>
            <w:proofErr w:type="spellEnd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linkerventrikelhypertrofie</w:t>
            </w:r>
            <w:proofErr w:type="spellEnd"/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) is dit &lt;140/90 mm Hg.</w:t>
            </w:r>
          </w:p>
        </w:tc>
        <w:tc>
          <w:tcPr>
            <w:tcW w:w="1362" w:type="dxa"/>
          </w:tcPr>
          <w:p w:rsidR="007811F8" w:rsidRDefault="008D7A2C" w:rsidP="00522BE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Internist/</w:t>
            </w:r>
          </w:p>
          <w:p w:rsidR="008D7A2C" w:rsidRPr="007811F8" w:rsidRDefault="00B35863" w:rsidP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ZW1/ZW3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13-19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</w:tcPr>
          <w:p w:rsidR="008D7A2C" w:rsidRPr="007811F8" w:rsidRDefault="008D7A2C" w:rsidP="00584A27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Controle RR, bij wijziging medicatie wekelijks controleren tot streefwaardes zijn bereikt.</w:t>
            </w:r>
          </w:p>
        </w:tc>
        <w:tc>
          <w:tcPr>
            <w:tcW w:w="4158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2" w:type="dxa"/>
          </w:tcPr>
          <w:p w:rsidR="008D7A2C" w:rsidRPr="007811F8" w:rsidRDefault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SEO of GUO overweeg ook doppler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arteria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uterina</w:t>
            </w:r>
            <w:proofErr w:type="spellEnd"/>
          </w:p>
        </w:tc>
        <w:tc>
          <w:tcPr>
            <w:tcW w:w="4394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58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2" w:type="dxa"/>
          </w:tcPr>
          <w:p w:rsidR="008D7A2C" w:rsidRPr="007811F8" w:rsidRDefault="00B35863" w:rsidP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E1S/E3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22</w:t>
            </w:r>
          </w:p>
        </w:tc>
        <w:tc>
          <w:tcPr>
            <w:tcW w:w="1991" w:type="dxa"/>
          </w:tcPr>
          <w:p w:rsidR="008D7A2C" w:rsidRPr="007811F8" w:rsidRDefault="008D7A2C" w:rsidP="008C1E4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</w:tcPr>
          <w:p w:rsidR="008D7A2C" w:rsidRPr="007811F8" w:rsidRDefault="008D7A2C" w:rsidP="00F00F2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58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2" w:type="dxa"/>
          </w:tcPr>
          <w:p w:rsidR="008D7A2C" w:rsidRPr="007811F8" w:rsidRDefault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24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Echo biometrie</w:t>
            </w:r>
          </w:p>
        </w:tc>
        <w:tc>
          <w:tcPr>
            <w:tcW w:w="4394" w:type="dxa"/>
          </w:tcPr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Vragen naar symptomen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): bepaal 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lastRenderedPageBreak/>
              <w:t>proteÏnurie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positief en/of klachten=verwijzen naar kliniek</w:t>
            </w:r>
          </w:p>
        </w:tc>
        <w:tc>
          <w:tcPr>
            <w:tcW w:w="4158" w:type="dxa"/>
          </w:tcPr>
          <w:p w:rsidR="008D7A2C" w:rsidRPr="007811F8" w:rsidRDefault="008D7A2C" w:rsidP="0018458E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lastRenderedPageBreak/>
              <w:t>Indien 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). Indien geen klachten en/of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proteinurie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pas medicatie aan</w:t>
            </w:r>
          </w:p>
        </w:tc>
        <w:tc>
          <w:tcPr>
            <w:tcW w:w="1362" w:type="dxa"/>
          </w:tcPr>
          <w:p w:rsidR="008D7A2C" w:rsidRPr="007811F8" w:rsidRDefault="00B35863" w:rsidP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ZW1/ZW3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28 </w:t>
            </w:r>
          </w:p>
        </w:tc>
        <w:tc>
          <w:tcPr>
            <w:tcW w:w="1991" w:type="dxa"/>
          </w:tcPr>
          <w:p w:rsidR="008D7A2C" w:rsidRPr="007811F8" w:rsidRDefault="008D7A2C" w:rsidP="00584A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 w:rsidP="00584A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 w:rsidP="00584A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 w:rsidP="00584A2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Echo biometrie</w:t>
            </w:r>
          </w:p>
        </w:tc>
        <w:tc>
          <w:tcPr>
            <w:tcW w:w="4394" w:type="dxa"/>
          </w:tcPr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Vragen naar symptomen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): bepaal 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proteÏnurie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positief en/of klachten=verwijzen naar kliniek</w:t>
            </w:r>
          </w:p>
        </w:tc>
        <w:tc>
          <w:tcPr>
            <w:tcW w:w="4158" w:type="dxa"/>
          </w:tcPr>
          <w:p w:rsidR="008D7A2C" w:rsidRPr="007811F8" w:rsidRDefault="008D7A2C" w:rsidP="00584A27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Indien 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). Indien geen klachten en/of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proteinurie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pas medicatie aan</w:t>
            </w:r>
          </w:p>
        </w:tc>
        <w:tc>
          <w:tcPr>
            <w:tcW w:w="1362" w:type="dxa"/>
          </w:tcPr>
          <w:p w:rsidR="008D7A2C" w:rsidRPr="007811F8" w:rsidRDefault="00B35863" w:rsidP="00D8763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ZW1/ZW3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30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Facultatief </w:t>
            </w:r>
            <w:r w:rsidR="007811F8" w:rsidRPr="007811F8">
              <w:rPr>
                <w:rFonts w:ascii="Open Sans" w:hAnsi="Open Sans" w:cs="Open Sans"/>
                <w:sz w:val="18"/>
                <w:szCs w:val="18"/>
              </w:rPr>
              <w:t>consult</w:t>
            </w:r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 mag overgeslagen worden bij stabiele </w:t>
            </w:r>
            <w:r w:rsidR="007811F8" w:rsidRPr="007811F8">
              <w:rPr>
                <w:rFonts w:ascii="Open Sans" w:hAnsi="Open Sans" w:cs="Open Sans"/>
                <w:sz w:val="18"/>
                <w:szCs w:val="18"/>
              </w:rPr>
              <w:t>patiënt</w:t>
            </w: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</w:tcPr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Vragen naar symptomen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): bepaal 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proteÏnurie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: positief en/of klachten=verwijzen naar kliniek </w:t>
            </w:r>
          </w:p>
        </w:tc>
        <w:tc>
          <w:tcPr>
            <w:tcW w:w="4158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Indien 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). Indien geen klachten en/of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proteinurie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pas medicatie aan</w:t>
            </w:r>
          </w:p>
        </w:tc>
        <w:tc>
          <w:tcPr>
            <w:tcW w:w="1362" w:type="dxa"/>
          </w:tcPr>
          <w:p w:rsidR="008D7A2C" w:rsidRPr="007811F8" w:rsidRDefault="00B35863" w:rsidP="00CD45A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ZW1/ZW3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 w:rsidP="0018458E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Echo biometrie</w:t>
            </w:r>
          </w:p>
        </w:tc>
        <w:tc>
          <w:tcPr>
            <w:tcW w:w="4394" w:type="dxa"/>
          </w:tcPr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Vragen naar symptomen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): bepaal 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proteÏnurie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: positief en/of klachten=verwijzen naar kliniek </w:t>
            </w:r>
          </w:p>
        </w:tc>
        <w:tc>
          <w:tcPr>
            <w:tcW w:w="4158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Indien 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). Indien geen klachten en/of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proteinurie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pas medicatie aan</w:t>
            </w:r>
          </w:p>
        </w:tc>
        <w:tc>
          <w:tcPr>
            <w:tcW w:w="1362" w:type="dxa"/>
          </w:tcPr>
          <w:p w:rsidR="008D7A2C" w:rsidRPr="007811F8" w:rsidRDefault="00B35863" w:rsidP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ZW1/ZW3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34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 w:rsidP="0018458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</w:tcPr>
          <w:p w:rsidR="008D7A2C" w:rsidRPr="007811F8" w:rsidRDefault="008D7A2C" w:rsidP="0099027E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Vragen naar symptomen</w:t>
            </w:r>
          </w:p>
          <w:p w:rsidR="008D7A2C" w:rsidRPr="007811F8" w:rsidRDefault="008D7A2C" w:rsidP="0099027E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): bepaal </w:t>
            </w:r>
          </w:p>
          <w:p w:rsidR="008D7A2C" w:rsidRPr="007811F8" w:rsidRDefault="008D7A2C" w:rsidP="0099027E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proteÏnurie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positief en/of klachten=verwijzen naar kliniek</w:t>
            </w:r>
          </w:p>
        </w:tc>
        <w:tc>
          <w:tcPr>
            <w:tcW w:w="4158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Indien 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). Indien geen klachten en/of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proteinurie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pas medicatie aan</w:t>
            </w:r>
          </w:p>
        </w:tc>
        <w:tc>
          <w:tcPr>
            <w:tcW w:w="1362" w:type="dxa"/>
          </w:tcPr>
          <w:p w:rsidR="008D7A2C" w:rsidRPr="007811F8" w:rsidRDefault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ZW1/ZW3</w:t>
            </w:r>
          </w:p>
        </w:tc>
      </w:tr>
      <w:tr w:rsidR="008D7A2C" w:rsidRPr="007811F8" w:rsidTr="00722186"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Echo biometrie</w:t>
            </w:r>
          </w:p>
        </w:tc>
        <w:tc>
          <w:tcPr>
            <w:tcW w:w="4394" w:type="dxa"/>
          </w:tcPr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Vragen naar symptomen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): bepaal </w:t>
            </w:r>
          </w:p>
          <w:p w:rsidR="008D7A2C" w:rsidRPr="007811F8" w:rsidRDefault="008D7A2C" w:rsidP="004B34C2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proteÏnurie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: positief en/of klachten=verwijzen naar kliniek </w:t>
            </w:r>
          </w:p>
        </w:tc>
        <w:tc>
          <w:tcPr>
            <w:tcW w:w="4158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Indien RR &gt;160, en/of &gt;100 (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diast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 xml:space="preserve">). Indien geen klachten en/of </w:t>
            </w:r>
            <w:proofErr w:type="spellStart"/>
            <w:r w:rsidRPr="007811F8">
              <w:rPr>
                <w:rFonts w:ascii="Open Sans" w:hAnsi="Open Sans" w:cs="Open Sans"/>
                <w:sz w:val="18"/>
                <w:szCs w:val="18"/>
              </w:rPr>
              <w:t>proteinurie</w:t>
            </w:r>
            <w:proofErr w:type="spellEnd"/>
            <w:r w:rsidRPr="007811F8">
              <w:rPr>
                <w:rFonts w:ascii="Open Sans" w:hAnsi="Open Sans" w:cs="Open Sans"/>
                <w:sz w:val="18"/>
                <w:szCs w:val="18"/>
              </w:rPr>
              <w:t>: pas medicatie aan</w:t>
            </w:r>
          </w:p>
        </w:tc>
        <w:tc>
          <w:tcPr>
            <w:tcW w:w="1362" w:type="dxa"/>
          </w:tcPr>
          <w:p w:rsidR="008D7A2C" w:rsidRPr="007811F8" w:rsidRDefault="00B35863" w:rsidP="00B3586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ZW1/ZW3</w:t>
            </w:r>
          </w:p>
        </w:tc>
      </w:tr>
      <w:tr w:rsidR="008D7A2C" w:rsidRPr="007811F8" w:rsidTr="00722186">
        <w:trPr>
          <w:trHeight w:val="653"/>
        </w:trPr>
        <w:tc>
          <w:tcPr>
            <w:tcW w:w="844" w:type="dxa"/>
          </w:tcPr>
          <w:p w:rsidR="008D7A2C" w:rsidRPr="007811F8" w:rsidRDefault="008D7A2C" w:rsidP="00C54D9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38</w:t>
            </w:r>
          </w:p>
        </w:tc>
        <w:tc>
          <w:tcPr>
            <w:tcW w:w="1991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</w:tcPr>
          <w:p w:rsidR="008D7A2C" w:rsidRPr="007811F8" w:rsidRDefault="008D7A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394" w:type="dxa"/>
          </w:tcPr>
          <w:p w:rsidR="008D7A2C" w:rsidRPr="007811F8" w:rsidRDefault="008D7A2C" w:rsidP="00D8763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A2A2A"/>
                <w:sz w:val="18"/>
                <w:szCs w:val="18"/>
                <w:lang w:eastAsia="en-US"/>
              </w:rPr>
            </w:pPr>
            <w:r w:rsidRPr="007811F8"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astreven baring bij ca 39 weken amenorroeduur indien geen evidente zwangerschapscompli</w:t>
            </w:r>
            <w:r w:rsidR="00B35863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caties, anders eventueel eerder</w:t>
            </w:r>
            <w:r w:rsidRPr="007811F8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35863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 xml:space="preserve">VT en plannen </w:t>
            </w:r>
            <w:proofErr w:type="spellStart"/>
            <w:r w:rsidRPr="00B35863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priming</w:t>
            </w:r>
            <w:proofErr w:type="spellEnd"/>
            <w:r w:rsidRPr="00B35863">
              <w:rPr>
                <w:rFonts w:ascii="Open Sans" w:hAnsi="Open Sans" w:cs="Open Sans"/>
                <w:color w:val="000000"/>
                <w:sz w:val="18"/>
                <w:szCs w:val="18"/>
                <w:lang w:eastAsia="en-US"/>
              </w:rPr>
              <w:t>/CI.</w:t>
            </w:r>
          </w:p>
          <w:p w:rsidR="008D7A2C" w:rsidRPr="007811F8" w:rsidRDefault="008D7A2C" w:rsidP="001E22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58" w:type="dxa"/>
          </w:tcPr>
          <w:p w:rsidR="008D7A2C" w:rsidRPr="007811F8" w:rsidRDefault="008D7A2C" w:rsidP="001E22B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 w:rsidP="001E22B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 w:rsidP="001E22B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D7A2C" w:rsidRPr="007811F8" w:rsidRDefault="008D7A2C" w:rsidP="001E22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2" w:type="dxa"/>
          </w:tcPr>
          <w:p w:rsidR="008D7A2C" w:rsidRPr="007811F8" w:rsidRDefault="00B35863" w:rsidP="00D8763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ZW2</w:t>
            </w:r>
          </w:p>
        </w:tc>
      </w:tr>
    </w:tbl>
    <w:p w:rsidR="008D7A2C" w:rsidRPr="00D507B0" w:rsidRDefault="008D7A2C" w:rsidP="00AE5D19"/>
    <w:sectPr w:rsidR="008D7A2C" w:rsidRPr="00D507B0" w:rsidSect="00585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1E" w:rsidRDefault="0048681E" w:rsidP="00A61410">
      <w:r>
        <w:separator/>
      </w:r>
    </w:p>
  </w:endnote>
  <w:endnote w:type="continuationSeparator" w:id="0">
    <w:p w:rsidR="0048681E" w:rsidRDefault="0048681E" w:rsidP="00A6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2C" w:rsidRDefault="008D7A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2C" w:rsidRDefault="008D3E07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9958705</wp:posOffset>
              </wp:positionH>
              <wp:positionV relativeFrom="page">
                <wp:posOffset>7014210</wp:posOffset>
              </wp:positionV>
              <wp:extent cx="565785" cy="191770"/>
              <wp:effectExtent l="0" t="0" r="0" b="1778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A2C" w:rsidRPr="00927F3D" w:rsidRDefault="0050643F" w:rsidP="00927F3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5631A" w:rsidRPr="00B5631A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1" o:spid="_x0000_s1026" style="position:absolute;margin-left:784.15pt;margin-top:552.3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8D7A2C" w:rsidRPr="00927F3D" w:rsidRDefault="0050643F" w:rsidP="00927F3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5631A" w:rsidRPr="00B5631A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2C" w:rsidRDefault="008D7A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1E" w:rsidRDefault="0048681E" w:rsidP="00A61410">
      <w:r>
        <w:separator/>
      </w:r>
    </w:p>
  </w:footnote>
  <w:footnote w:type="continuationSeparator" w:id="0">
    <w:p w:rsidR="0048681E" w:rsidRDefault="0048681E" w:rsidP="00A6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2C" w:rsidRDefault="008D7A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2C" w:rsidRDefault="0048681E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97158" o:spid="_x0000_s2049" type="#_x0000_t136" style="position:absolute;margin-left:0;margin-top:0;width:447.65pt;height:191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finiti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A2C" w:rsidRDefault="008D7A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E6D"/>
    <w:multiLevelType w:val="hybridMultilevel"/>
    <w:tmpl w:val="9DD44DF4"/>
    <w:lvl w:ilvl="0" w:tplc="13620D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3A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EEC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C4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C3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F62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6E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BE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54F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36135D"/>
    <w:multiLevelType w:val="hybridMultilevel"/>
    <w:tmpl w:val="1EE80336"/>
    <w:lvl w:ilvl="0" w:tplc="A5985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4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2C5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96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541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5C8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C6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74C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80E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BD10895"/>
    <w:multiLevelType w:val="hybridMultilevel"/>
    <w:tmpl w:val="6734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7C2F73"/>
    <w:multiLevelType w:val="hybridMultilevel"/>
    <w:tmpl w:val="18F61D68"/>
    <w:lvl w:ilvl="0" w:tplc="9EEC39C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D6B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987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FA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649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5A2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90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30D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EC8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0"/>
    <w:rsid w:val="000532AC"/>
    <w:rsid w:val="00096549"/>
    <w:rsid w:val="000E6AA5"/>
    <w:rsid w:val="00125530"/>
    <w:rsid w:val="001379DF"/>
    <w:rsid w:val="0018458E"/>
    <w:rsid w:val="0019543D"/>
    <w:rsid w:val="001E22BF"/>
    <w:rsid w:val="00205F5D"/>
    <w:rsid w:val="00281AFC"/>
    <w:rsid w:val="002D59E3"/>
    <w:rsid w:val="0031062C"/>
    <w:rsid w:val="00323272"/>
    <w:rsid w:val="00353B62"/>
    <w:rsid w:val="003614CC"/>
    <w:rsid w:val="00390C64"/>
    <w:rsid w:val="00402A6C"/>
    <w:rsid w:val="00424C02"/>
    <w:rsid w:val="00440729"/>
    <w:rsid w:val="0048681E"/>
    <w:rsid w:val="00491415"/>
    <w:rsid w:val="004A79A6"/>
    <w:rsid w:val="004B34C2"/>
    <w:rsid w:val="004D0DC8"/>
    <w:rsid w:val="004E3463"/>
    <w:rsid w:val="004E7A56"/>
    <w:rsid w:val="0050643F"/>
    <w:rsid w:val="00522BEC"/>
    <w:rsid w:val="00550E04"/>
    <w:rsid w:val="00584A27"/>
    <w:rsid w:val="0058556F"/>
    <w:rsid w:val="00624C4E"/>
    <w:rsid w:val="00677C8D"/>
    <w:rsid w:val="00686B5C"/>
    <w:rsid w:val="00695A3F"/>
    <w:rsid w:val="006C2B97"/>
    <w:rsid w:val="006C5B3E"/>
    <w:rsid w:val="006D4ECD"/>
    <w:rsid w:val="00722186"/>
    <w:rsid w:val="00725C0B"/>
    <w:rsid w:val="00730DC4"/>
    <w:rsid w:val="007811F8"/>
    <w:rsid w:val="007B6B7C"/>
    <w:rsid w:val="007B6FEC"/>
    <w:rsid w:val="007E51C4"/>
    <w:rsid w:val="007E6FA0"/>
    <w:rsid w:val="008248F9"/>
    <w:rsid w:val="0089500C"/>
    <w:rsid w:val="008C1E4D"/>
    <w:rsid w:val="008D3E07"/>
    <w:rsid w:val="008D7A2C"/>
    <w:rsid w:val="008F2189"/>
    <w:rsid w:val="00927F3D"/>
    <w:rsid w:val="00932BF8"/>
    <w:rsid w:val="009369D4"/>
    <w:rsid w:val="009377EC"/>
    <w:rsid w:val="009401FF"/>
    <w:rsid w:val="00950DAA"/>
    <w:rsid w:val="00961939"/>
    <w:rsid w:val="0099027E"/>
    <w:rsid w:val="00A60B5B"/>
    <w:rsid w:val="00A61410"/>
    <w:rsid w:val="00A6634B"/>
    <w:rsid w:val="00AA5D92"/>
    <w:rsid w:val="00AA6043"/>
    <w:rsid w:val="00AB5C57"/>
    <w:rsid w:val="00AC52E1"/>
    <w:rsid w:val="00AE5D19"/>
    <w:rsid w:val="00B2702D"/>
    <w:rsid w:val="00B35863"/>
    <w:rsid w:val="00B4322E"/>
    <w:rsid w:val="00B536C3"/>
    <w:rsid w:val="00B5631A"/>
    <w:rsid w:val="00B72485"/>
    <w:rsid w:val="00B943B6"/>
    <w:rsid w:val="00BB0112"/>
    <w:rsid w:val="00BC00C6"/>
    <w:rsid w:val="00BF7B30"/>
    <w:rsid w:val="00C41477"/>
    <w:rsid w:val="00C54D9D"/>
    <w:rsid w:val="00CD45A8"/>
    <w:rsid w:val="00D507B0"/>
    <w:rsid w:val="00D61999"/>
    <w:rsid w:val="00D87638"/>
    <w:rsid w:val="00D87FA6"/>
    <w:rsid w:val="00DC0A3A"/>
    <w:rsid w:val="00E01E07"/>
    <w:rsid w:val="00E624D4"/>
    <w:rsid w:val="00F00F24"/>
    <w:rsid w:val="00F20A60"/>
    <w:rsid w:val="00F268BD"/>
    <w:rsid w:val="00F335DA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6D74397"/>
  <w15:docId w15:val="{CDADA883-77E0-4D17-B8A7-F9633B87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E22BF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255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rsid w:val="008248F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8248F9"/>
    <w:rPr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8248F9"/>
    <w:rPr>
      <w:rFonts w:ascii="Arial" w:hAnsi="Arial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8248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8248F9"/>
    <w:rPr>
      <w:rFonts w:ascii="Arial" w:hAnsi="Arial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8248F9"/>
    <w:rPr>
      <w:rFonts w:ascii="Tahoma" w:hAnsi="Tahoma"/>
      <w:sz w:val="16"/>
      <w:szCs w:val="16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8248F9"/>
    <w:rPr>
      <w:rFonts w:ascii="Tahoma" w:hAnsi="Tahoma" w:cs="Times New Roman"/>
      <w:sz w:val="16"/>
    </w:rPr>
  </w:style>
  <w:style w:type="character" w:styleId="Nadruk">
    <w:name w:val="Emphasis"/>
    <w:basedOn w:val="Standaardalinea-lettertype"/>
    <w:uiPriority w:val="99"/>
    <w:qFormat/>
    <w:rsid w:val="009369D4"/>
    <w:rPr>
      <w:rFonts w:cs="Times New Roman"/>
      <w:i/>
      <w:iCs/>
    </w:rPr>
  </w:style>
  <w:style w:type="paragraph" w:styleId="Koptekst">
    <w:name w:val="header"/>
    <w:basedOn w:val="Standaard"/>
    <w:link w:val="Kop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61410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6141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zwangerschapcontrole schema (eenling) per 1 okt 2012</vt:lpstr>
    </vt:vector>
  </TitlesOfParts>
  <Company>Westfries Gasthuis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zwangerschapcontrole schema (eenling) per 1 okt 2012</dc:title>
  <dc:subject/>
  <dc:creator>Wildschut, Hajo</dc:creator>
  <cp:keywords/>
  <dc:description/>
  <cp:lastModifiedBy>Vera</cp:lastModifiedBy>
  <cp:revision>2</cp:revision>
  <dcterms:created xsi:type="dcterms:W3CDTF">2017-03-16T10:46:00Z</dcterms:created>
  <dcterms:modified xsi:type="dcterms:W3CDTF">2017-03-16T10:46:00Z</dcterms:modified>
</cp:coreProperties>
</file>