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0A5B9" w14:textId="77777777" w:rsidR="00D56107" w:rsidRPr="00B156D0" w:rsidRDefault="00D56107" w:rsidP="00D56107">
      <w:pPr>
        <w:pStyle w:val="Kop2"/>
        <w:rPr>
          <w:rFonts w:asciiTheme="minorHAnsi" w:hAnsiTheme="minorHAnsi" w:cstheme="minorHAnsi"/>
          <w:sz w:val="32"/>
        </w:rPr>
      </w:pPr>
      <w:bookmarkStart w:id="0" w:name="_Toc501438610"/>
      <w:bookmarkStart w:id="1" w:name="_GoBack"/>
      <w:bookmarkEnd w:id="1"/>
      <w:r w:rsidRPr="00B156D0">
        <w:rPr>
          <w:rFonts w:asciiTheme="minorHAnsi" w:hAnsiTheme="minorHAnsi" w:cstheme="minorHAnsi"/>
          <w:sz w:val="32"/>
        </w:rPr>
        <w:t>Checklist ontwikkelen kwaliteitssysteem</w:t>
      </w:r>
      <w:bookmarkEnd w:id="0"/>
    </w:p>
    <w:p w14:paraId="55D26B78" w14:textId="77777777" w:rsidR="00D56107" w:rsidRPr="00B156D0" w:rsidRDefault="00D56107" w:rsidP="00D56107">
      <w:pPr>
        <w:rPr>
          <w:rFonts w:asciiTheme="minorHAnsi" w:hAnsiTheme="minorHAnsi" w:cstheme="minorHAnsi"/>
          <w:sz w:val="24"/>
        </w:rPr>
      </w:pPr>
      <w:r w:rsidRPr="00B156D0">
        <w:rPr>
          <w:rFonts w:asciiTheme="minorHAnsi" w:hAnsiTheme="minorHAnsi" w:cstheme="minorHAnsi"/>
          <w:sz w:val="22"/>
        </w:rPr>
        <w:fldChar w:fldCharType="begin"/>
      </w:r>
      <w:r w:rsidRPr="00B156D0">
        <w:rPr>
          <w:rFonts w:asciiTheme="minorHAnsi" w:hAnsiTheme="minorHAnsi" w:cstheme="minorHAnsi"/>
          <w:sz w:val="22"/>
        </w:rPr>
        <w:instrText xml:space="preserve"> LINK Excel.Sheet.12 "C:\\Users\\Inge\\Google Drive\\2. Onderzoek\\OK17-102 IGO MKL; opzetten kwaliteitssysteem\\1. Opzetten kwaliteitssysteem\\Productgroep Kwaliteit PTGZ\\checklist ontw kwaliteitssysteem.xlsx" "Checklist ontwikkeling kwalsyst!R1K1:R96K5" \a \f 4 \h  \* MERGEFORMAT </w:instrText>
      </w:r>
      <w:r w:rsidRPr="00B156D0">
        <w:rPr>
          <w:rFonts w:asciiTheme="minorHAnsi" w:hAnsiTheme="minorHAnsi" w:cstheme="minorHAnsi"/>
          <w:sz w:val="22"/>
        </w:rPr>
        <w:fldChar w:fldCharType="separate"/>
      </w:r>
    </w:p>
    <w:tbl>
      <w:tblPr>
        <w:tblW w:w="13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5"/>
        <w:gridCol w:w="3395"/>
        <w:gridCol w:w="7130"/>
        <w:gridCol w:w="1528"/>
        <w:gridCol w:w="822"/>
      </w:tblGrid>
      <w:tr w:rsidR="00D56107" w:rsidRPr="00B156D0" w14:paraId="10517AC2" w14:textId="77777777" w:rsidTr="00DA6E19">
        <w:trPr>
          <w:trHeight w:val="675"/>
        </w:trPr>
        <w:tc>
          <w:tcPr>
            <w:tcW w:w="345" w:type="dxa"/>
            <w:shd w:val="clear" w:color="auto" w:fill="auto"/>
            <w:vAlign w:val="center"/>
            <w:hideMark/>
          </w:tcPr>
          <w:p w14:paraId="0471BC74" w14:textId="77777777" w:rsidR="00D56107" w:rsidRPr="00B156D0" w:rsidRDefault="00D56107" w:rsidP="00DA6E19">
            <w:pPr>
              <w:spacing w:line="240" w:lineRule="auto"/>
              <w:rPr>
                <w:rFonts w:asciiTheme="minorHAnsi" w:eastAsia="Times New Roman" w:hAnsiTheme="minorHAnsi" w:cstheme="minorHAnsi"/>
                <w:sz w:val="18"/>
                <w:szCs w:val="16"/>
                <w:lang w:eastAsia="nl-NL"/>
              </w:rPr>
            </w:pPr>
          </w:p>
        </w:tc>
        <w:tc>
          <w:tcPr>
            <w:tcW w:w="3395" w:type="dxa"/>
            <w:shd w:val="clear" w:color="auto" w:fill="auto"/>
            <w:vAlign w:val="center"/>
            <w:hideMark/>
          </w:tcPr>
          <w:p w14:paraId="1A576A29" w14:textId="77777777" w:rsidR="00D56107" w:rsidRPr="00B156D0" w:rsidRDefault="00D56107" w:rsidP="00DA6E19">
            <w:pPr>
              <w:spacing w:line="240" w:lineRule="auto"/>
              <w:jc w:val="center"/>
              <w:rPr>
                <w:rFonts w:asciiTheme="minorHAnsi" w:eastAsia="Times New Roman" w:hAnsiTheme="minorHAnsi" w:cstheme="minorHAnsi"/>
                <w:b/>
                <w:bCs/>
                <w:color w:val="000000" w:themeColor="text1"/>
                <w:sz w:val="18"/>
                <w:szCs w:val="16"/>
                <w:lang w:eastAsia="nl-NL"/>
              </w:rPr>
            </w:pPr>
            <w:r w:rsidRPr="00B156D0">
              <w:rPr>
                <w:rFonts w:asciiTheme="minorHAnsi" w:eastAsia="Times New Roman" w:hAnsiTheme="minorHAnsi" w:cstheme="minorHAnsi"/>
                <w:b/>
                <w:bCs/>
                <w:color w:val="000000"/>
                <w:sz w:val="18"/>
                <w:szCs w:val="16"/>
                <w:lang w:eastAsia="nl-NL"/>
              </w:rPr>
              <w:t>Wat?</w:t>
            </w:r>
          </w:p>
        </w:tc>
        <w:tc>
          <w:tcPr>
            <w:tcW w:w="7130" w:type="dxa"/>
            <w:shd w:val="clear" w:color="auto" w:fill="auto"/>
            <w:vAlign w:val="center"/>
            <w:hideMark/>
          </w:tcPr>
          <w:p w14:paraId="26906D54" w14:textId="77777777" w:rsidR="00D56107" w:rsidRPr="00B156D0" w:rsidRDefault="00D56107" w:rsidP="00DA6E19">
            <w:pPr>
              <w:spacing w:line="240" w:lineRule="auto"/>
              <w:jc w:val="center"/>
              <w:rPr>
                <w:rFonts w:asciiTheme="minorHAnsi" w:eastAsia="Times New Roman" w:hAnsiTheme="minorHAnsi" w:cstheme="minorHAnsi"/>
                <w:b/>
                <w:bCs/>
                <w:color w:val="000000" w:themeColor="text1"/>
                <w:sz w:val="18"/>
                <w:szCs w:val="16"/>
                <w:lang w:eastAsia="nl-NL"/>
              </w:rPr>
            </w:pPr>
            <w:r w:rsidRPr="00B156D0">
              <w:rPr>
                <w:rFonts w:asciiTheme="minorHAnsi" w:eastAsia="Times New Roman" w:hAnsiTheme="minorHAnsi" w:cstheme="minorHAnsi"/>
                <w:b/>
                <w:bCs/>
                <w:color w:val="000000"/>
                <w:sz w:val="18"/>
                <w:szCs w:val="16"/>
                <w:lang w:eastAsia="nl-NL"/>
              </w:rPr>
              <w:t>Beschrijving</w:t>
            </w:r>
          </w:p>
        </w:tc>
        <w:tc>
          <w:tcPr>
            <w:tcW w:w="1528" w:type="dxa"/>
            <w:shd w:val="clear" w:color="auto" w:fill="auto"/>
            <w:vAlign w:val="center"/>
            <w:hideMark/>
          </w:tcPr>
          <w:p w14:paraId="0DBEFF78" w14:textId="77777777" w:rsidR="00D56107" w:rsidRPr="00B156D0" w:rsidRDefault="00D56107" w:rsidP="00DA6E19">
            <w:pPr>
              <w:spacing w:line="240" w:lineRule="auto"/>
              <w:jc w:val="center"/>
              <w:rPr>
                <w:rFonts w:asciiTheme="minorHAnsi" w:eastAsia="Times New Roman" w:hAnsiTheme="minorHAnsi" w:cstheme="minorHAnsi"/>
                <w:b/>
                <w:bCs/>
                <w:color w:val="000000" w:themeColor="text1"/>
                <w:sz w:val="18"/>
                <w:szCs w:val="16"/>
                <w:lang w:eastAsia="nl-NL"/>
              </w:rPr>
            </w:pPr>
            <w:r w:rsidRPr="00B156D0">
              <w:rPr>
                <w:rFonts w:asciiTheme="minorHAnsi" w:eastAsia="Times New Roman" w:hAnsiTheme="minorHAnsi" w:cstheme="minorHAnsi"/>
                <w:b/>
                <w:bCs/>
                <w:color w:val="000000"/>
                <w:sz w:val="18"/>
                <w:szCs w:val="16"/>
                <w:lang w:eastAsia="nl-NL"/>
              </w:rPr>
              <w:t>Stap Kwaliteitssysteem</w:t>
            </w:r>
          </w:p>
        </w:tc>
        <w:tc>
          <w:tcPr>
            <w:tcW w:w="822" w:type="dxa"/>
            <w:shd w:val="clear" w:color="auto" w:fill="auto"/>
            <w:vAlign w:val="center"/>
            <w:hideMark/>
          </w:tcPr>
          <w:p w14:paraId="735B4ACC" w14:textId="77777777" w:rsidR="00D56107" w:rsidRPr="00B156D0" w:rsidRDefault="00D56107" w:rsidP="00DA6E19">
            <w:pPr>
              <w:spacing w:line="240" w:lineRule="auto"/>
              <w:jc w:val="center"/>
              <w:rPr>
                <w:rFonts w:asciiTheme="minorHAnsi" w:eastAsia="Times New Roman" w:hAnsiTheme="minorHAnsi" w:cstheme="minorHAnsi"/>
                <w:b/>
                <w:bCs/>
                <w:color w:val="000000" w:themeColor="text1"/>
                <w:sz w:val="18"/>
                <w:szCs w:val="16"/>
                <w:lang w:eastAsia="nl-NL"/>
              </w:rPr>
            </w:pPr>
            <w:r w:rsidRPr="00B156D0">
              <w:rPr>
                <w:rFonts w:asciiTheme="minorHAnsi" w:eastAsia="Times New Roman" w:hAnsiTheme="minorHAnsi" w:cstheme="minorHAnsi"/>
                <w:b/>
                <w:bCs/>
                <w:color w:val="000000"/>
                <w:sz w:val="18"/>
                <w:szCs w:val="16"/>
                <w:lang w:eastAsia="nl-NL"/>
              </w:rPr>
              <w:t>Jaar</w:t>
            </w:r>
          </w:p>
        </w:tc>
      </w:tr>
      <w:tr w:rsidR="00D56107" w:rsidRPr="00B156D0" w14:paraId="413CF3FD" w14:textId="77777777" w:rsidTr="00DA6E19">
        <w:trPr>
          <w:trHeight w:val="765"/>
        </w:trPr>
        <w:tc>
          <w:tcPr>
            <w:tcW w:w="345" w:type="dxa"/>
            <w:shd w:val="clear" w:color="auto" w:fill="auto"/>
            <w:vAlign w:val="center"/>
            <w:hideMark/>
          </w:tcPr>
          <w:p w14:paraId="20DF27B1"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2C026228" w14:textId="77777777" w:rsidR="00D56107" w:rsidRPr="00B156D0" w:rsidRDefault="00D56107" w:rsidP="00DA6E19">
            <w:pPr>
              <w:spacing w:line="240" w:lineRule="auto"/>
              <w:rPr>
                <w:rFonts w:asciiTheme="minorHAnsi" w:eastAsia="Times New Roman" w:hAnsiTheme="minorHAnsi" w:cstheme="minorHAnsi"/>
                <w:color w:val="000000" w:themeColor="text1"/>
                <w:sz w:val="22"/>
                <w:szCs w:val="16"/>
                <w:lang w:eastAsia="nl-NL"/>
              </w:rPr>
            </w:pPr>
            <w:r w:rsidRPr="00B156D0">
              <w:rPr>
                <w:rFonts w:asciiTheme="minorHAnsi" w:eastAsia="Times New Roman" w:hAnsiTheme="minorHAnsi" w:cstheme="minorHAnsi"/>
                <w:color w:val="000000"/>
                <w:sz w:val="18"/>
                <w:szCs w:val="16"/>
                <w:lang w:eastAsia="nl-NL"/>
              </w:rPr>
              <w:t xml:space="preserve">VSV/IGO Leden informeren over cyclisch evalueren als lerende </w:t>
            </w:r>
            <w:r w:rsidRPr="00B156D0">
              <w:rPr>
                <w:rFonts w:asciiTheme="minorHAnsi" w:eastAsia="Times New Roman" w:hAnsiTheme="minorHAnsi" w:cstheme="minorHAnsi"/>
                <w:color w:val="000000"/>
                <w:szCs w:val="16"/>
                <w:lang w:eastAsia="nl-NL"/>
              </w:rPr>
              <w:t>organisatie</w:t>
            </w:r>
          </w:p>
        </w:tc>
        <w:tc>
          <w:tcPr>
            <w:tcW w:w="7130" w:type="dxa"/>
            <w:shd w:val="clear" w:color="auto" w:fill="auto"/>
            <w:vAlign w:val="center"/>
            <w:hideMark/>
          </w:tcPr>
          <w:p w14:paraId="727C5C7D"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1528" w:type="dxa"/>
            <w:shd w:val="clear" w:color="auto" w:fill="auto"/>
            <w:vAlign w:val="center"/>
            <w:hideMark/>
          </w:tcPr>
          <w:p w14:paraId="27F51DF3"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1</w:t>
            </w:r>
          </w:p>
        </w:tc>
        <w:tc>
          <w:tcPr>
            <w:tcW w:w="822" w:type="dxa"/>
            <w:shd w:val="clear" w:color="auto" w:fill="auto"/>
            <w:vAlign w:val="center"/>
            <w:hideMark/>
          </w:tcPr>
          <w:p w14:paraId="018AB48B"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1</w:t>
            </w:r>
          </w:p>
        </w:tc>
      </w:tr>
      <w:tr w:rsidR="00D56107" w:rsidRPr="00B156D0" w14:paraId="76AA6B8B" w14:textId="77777777" w:rsidTr="00DA6E19">
        <w:trPr>
          <w:trHeight w:val="675"/>
        </w:trPr>
        <w:tc>
          <w:tcPr>
            <w:tcW w:w="345" w:type="dxa"/>
            <w:shd w:val="clear" w:color="auto" w:fill="auto"/>
            <w:hideMark/>
          </w:tcPr>
          <w:p w14:paraId="5A69134A"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0C15F625"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 xml:space="preserve">Implementatie </w:t>
            </w:r>
            <w:r w:rsidRPr="00B156D0">
              <w:rPr>
                <w:rFonts w:asciiTheme="minorHAnsi" w:eastAsia="Times New Roman" w:hAnsiTheme="minorHAnsi" w:cstheme="minorHAnsi"/>
                <w:color w:val="000000"/>
                <w:szCs w:val="16"/>
                <w:lang w:eastAsia="nl-NL"/>
              </w:rPr>
              <w:t>Zorgstandaard</w:t>
            </w:r>
            <w:r w:rsidRPr="00B156D0">
              <w:rPr>
                <w:rFonts w:asciiTheme="minorHAnsi" w:eastAsia="Times New Roman" w:hAnsiTheme="minorHAnsi" w:cstheme="minorHAnsi"/>
                <w:color w:val="000000"/>
                <w:sz w:val="18"/>
                <w:szCs w:val="16"/>
                <w:lang w:eastAsia="nl-NL"/>
              </w:rPr>
              <w:t xml:space="preserve"> Integrale Geboortezorg</w:t>
            </w:r>
          </w:p>
        </w:tc>
        <w:tc>
          <w:tcPr>
            <w:tcW w:w="7130" w:type="dxa"/>
            <w:shd w:val="clear" w:color="auto" w:fill="auto"/>
            <w:vAlign w:val="center"/>
            <w:hideMark/>
          </w:tcPr>
          <w:p w14:paraId="4190B15F"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 xml:space="preserve">Elk kwartaal monitort het VSV/IGO de voortgang van de activiteiten die nodig zijn voor de implementatie van de Zorgstandaard, zoals geformuleerd in het implementatieplan.  Zo nodig wordt de activiteiten bijgesteld. </w:t>
            </w:r>
          </w:p>
        </w:tc>
        <w:tc>
          <w:tcPr>
            <w:tcW w:w="1528" w:type="dxa"/>
            <w:shd w:val="clear" w:color="auto" w:fill="auto"/>
            <w:vAlign w:val="center"/>
            <w:hideMark/>
          </w:tcPr>
          <w:p w14:paraId="66F171BC"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vAlign w:val="center"/>
            <w:hideMark/>
          </w:tcPr>
          <w:p w14:paraId="57A52C89"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0</w:t>
            </w:r>
          </w:p>
        </w:tc>
      </w:tr>
      <w:tr w:rsidR="00D56107" w:rsidRPr="00B156D0" w14:paraId="4C1585B8" w14:textId="77777777" w:rsidTr="00DA6E19">
        <w:trPr>
          <w:trHeight w:val="315"/>
        </w:trPr>
        <w:tc>
          <w:tcPr>
            <w:tcW w:w="345" w:type="dxa"/>
            <w:shd w:val="clear" w:color="auto" w:fill="auto"/>
            <w:hideMark/>
          </w:tcPr>
          <w:p w14:paraId="02ECA34B"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4B412805" w14:textId="77777777" w:rsidR="00D56107" w:rsidRPr="00B156D0" w:rsidRDefault="00D56107" w:rsidP="00DA6E19">
            <w:pPr>
              <w:spacing w:line="240" w:lineRule="auto"/>
              <w:jc w:val="right"/>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Fase 0</w:t>
            </w:r>
          </w:p>
        </w:tc>
        <w:tc>
          <w:tcPr>
            <w:tcW w:w="7130" w:type="dxa"/>
            <w:shd w:val="clear" w:color="auto" w:fill="auto"/>
            <w:vAlign w:val="center"/>
            <w:hideMark/>
          </w:tcPr>
          <w:p w14:paraId="1DA9355E"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Gezamenlijke besluitvorming, bejegening en informed consent</w:t>
            </w:r>
          </w:p>
        </w:tc>
        <w:tc>
          <w:tcPr>
            <w:tcW w:w="1528" w:type="dxa"/>
            <w:shd w:val="clear" w:color="auto" w:fill="auto"/>
            <w:vAlign w:val="center"/>
            <w:hideMark/>
          </w:tcPr>
          <w:p w14:paraId="7F7110B1"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vAlign w:val="center"/>
            <w:hideMark/>
          </w:tcPr>
          <w:p w14:paraId="2F9A4353"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0</w:t>
            </w:r>
          </w:p>
        </w:tc>
      </w:tr>
      <w:tr w:rsidR="00D56107" w:rsidRPr="00B156D0" w14:paraId="3A7F391B" w14:textId="77777777" w:rsidTr="00DA6E19">
        <w:trPr>
          <w:trHeight w:val="315"/>
        </w:trPr>
        <w:tc>
          <w:tcPr>
            <w:tcW w:w="345" w:type="dxa"/>
            <w:shd w:val="clear" w:color="auto" w:fill="auto"/>
            <w:hideMark/>
          </w:tcPr>
          <w:p w14:paraId="70B7B104"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520EEA1A" w14:textId="77777777" w:rsidR="00D56107" w:rsidRPr="00B156D0" w:rsidRDefault="00D56107" w:rsidP="00DA6E19">
            <w:pPr>
              <w:spacing w:line="240" w:lineRule="auto"/>
              <w:jc w:val="right"/>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Fase 0</w:t>
            </w:r>
          </w:p>
        </w:tc>
        <w:tc>
          <w:tcPr>
            <w:tcW w:w="7130" w:type="dxa"/>
            <w:shd w:val="clear" w:color="auto" w:fill="auto"/>
            <w:vAlign w:val="center"/>
            <w:hideMark/>
          </w:tcPr>
          <w:p w14:paraId="2137C6D5"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Kwaliteitsbeleid, inclusief kwaliteitscyclus en indicatoren</w:t>
            </w:r>
          </w:p>
        </w:tc>
        <w:tc>
          <w:tcPr>
            <w:tcW w:w="1528" w:type="dxa"/>
            <w:shd w:val="clear" w:color="auto" w:fill="auto"/>
            <w:vAlign w:val="center"/>
            <w:hideMark/>
          </w:tcPr>
          <w:p w14:paraId="73D3959E"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vAlign w:val="center"/>
            <w:hideMark/>
          </w:tcPr>
          <w:p w14:paraId="171FD01A"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0</w:t>
            </w:r>
          </w:p>
        </w:tc>
      </w:tr>
      <w:tr w:rsidR="00D56107" w:rsidRPr="00B156D0" w14:paraId="5F9BE8A7" w14:textId="77777777" w:rsidTr="00DA6E19">
        <w:trPr>
          <w:trHeight w:val="315"/>
        </w:trPr>
        <w:tc>
          <w:tcPr>
            <w:tcW w:w="345" w:type="dxa"/>
            <w:shd w:val="clear" w:color="auto" w:fill="auto"/>
            <w:hideMark/>
          </w:tcPr>
          <w:p w14:paraId="3DBE9B79"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545F428E" w14:textId="77777777" w:rsidR="00D56107" w:rsidRPr="00B156D0" w:rsidRDefault="00D56107" w:rsidP="00DA6E19">
            <w:pPr>
              <w:spacing w:line="240" w:lineRule="auto"/>
              <w:jc w:val="right"/>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Fase 1</w:t>
            </w:r>
          </w:p>
        </w:tc>
        <w:tc>
          <w:tcPr>
            <w:tcW w:w="7130" w:type="dxa"/>
            <w:shd w:val="clear" w:color="auto" w:fill="auto"/>
            <w:vAlign w:val="center"/>
            <w:hideMark/>
          </w:tcPr>
          <w:p w14:paraId="65891401"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Multidisciplinaire en -lijnoverstijgende samenwerking</w:t>
            </w:r>
          </w:p>
        </w:tc>
        <w:tc>
          <w:tcPr>
            <w:tcW w:w="1528" w:type="dxa"/>
            <w:shd w:val="clear" w:color="auto" w:fill="auto"/>
            <w:vAlign w:val="center"/>
            <w:hideMark/>
          </w:tcPr>
          <w:p w14:paraId="56D16312"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vAlign w:val="center"/>
            <w:hideMark/>
          </w:tcPr>
          <w:p w14:paraId="39D29B48"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0</w:t>
            </w:r>
          </w:p>
        </w:tc>
      </w:tr>
      <w:tr w:rsidR="00D56107" w:rsidRPr="00B156D0" w14:paraId="541A6DC7" w14:textId="77777777" w:rsidTr="00DA6E19">
        <w:trPr>
          <w:trHeight w:val="315"/>
        </w:trPr>
        <w:tc>
          <w:tcPr>
            <w:tcW w:w="345" w:type="dxa"/>
            <w:shd w:val="clear" w:color="auto" w:fill="auto"/>
            <w:hideMark/>
          </w:tcPr>
          <w:p w14:paraId="7B394427"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5EF8852D" w14:textId="77777777" w:rsidR="00D56107" w:rsidRPr="00B156D0" w:rsidRDefault="00D56107" w:rsidP="00DA6E19">
            <w:pPr>
              <w:spacing w:line="240" w:lineRule="auto"/>
              <w:jc w:val="right"/>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Fase 1</w:t>
            </w:r>
          </w:p>
        </w:tc>
        <w:tc>
          <w:tcPr>
            <w:tcW w:w="7130" w:type="dxa"/>
            <w:shd w:val="clear" w:color="auto" w:fill="auto"/>
            <w:vAlign w:val="center"/>
            <w:hideMark/>
          </w:tcPr>
          <w:p w14:paraId="7F19F6AC"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Interprofessioneel geboortezorg team</w:t>
            </w:r>
          </w:p>
        </w:tc>
        <w:tc>
          <w:tcPr>
            <w:tcW w:w="1528" w:type="dxa"/>
            <w:shd w:val="clear" w:color="auto" w:fill="auto"/>
            <w:vAlign w:val="center"/>
            <w:hideMark/>
          </w:tcPr>
          <w:p w14:paraId="221910D5"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vAlign w:val="center"/>
            <w:hideMark/>
          </w:tcPr>
          <w:p w14:paraId="36A78808"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0</w:t>
            </w:r>
          </w:p>
        </w:tc>
      </w:tr>
      <w:tr w:rsidR="00D56107" w:rsidRPr="00B156D0" w14:paraId="05F4D08A" w14:textId="77777777" w:rsidTr="00DA6E19">
        <w:trPr>
          <w:trHeight w:val="315"/>
        </w:trPr>
        <w:tc>
          <w:tcPr>
            <w:tcW w:w="345" w:type="dxa"/>
            <w:shd w:val="clear" w:color="auto" w:fill="auto"/>
            <w:hideMark/>
          </w:tcPr>
          <w:p w14:paraId="14F24117"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2CB7C202" w14:textId="77777777" w:rsidR="00D56107" w:rsidRPr="00B156D0" w:rsidRDefault="00D56107" w:rsidP="00DA6E19">
            <w:pPr>
              <w:spacing w:line="240" w:lineRule="auto"/>
              <w:jc w:val="right"/>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Fase 1</w:t>
            </w:r>
          </w:p>
        </w:tc>
        <w:tc>
          <w:tcPr>
            <w:tcW w:w="7130" w:type="dxa"/>
            <w:shd w:val="clear" w:color="auto" w:fill="auto"/>
            <w:vAlign w:val="center"/>
            <w:hideMark/>
          </w:tcPr>
          <w:p w14:paraId="209A987A"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Zwangere en (ongeboren)kind centraal</w:t>
            </w:r>
          </w:p>
        </w:tc>
        <w:tc>
          <w:tcPr>
            <w:tcW w:w="1528" w:type="dxa"/>
            <w:shd w:val="clear" w:color="auto" w:fill="auto"/>
            <w:vAlign w:val="center"/>
            <w:hideMark/>
          </w:tcPr>
          <w:p w14:paraId="65D83A50"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vAlign w:val="center"/>
            <w:hideMark/>
          </w:tcPr>
          <w:p w14:paraId="3341FF88"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0</w:t>
            </w:r>
          </w:p>
        </w:tc>
      </w:tr>
      <w:tr w:rsidR="00D56107" w:rsidRPr="00B156D0" w14:paraId="67A7AC74" w14:textId="77777777" w:rsidTr="00DA6E19">
        <w:trPr>
          <w:trHeight w:val="315"/>
        </w:trPr>
        <w:tc>
          <w:tcPr>
            <w:tcW w:w="345" w:type="dxa"/>
            <w:shd w:val="clear" w:color="auto" w:fill="auto"/>
            <w:hideMark/>
          </w:tcPr>
          <w:p w14:paraId="1BF0E03A"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02D6DD5A" w14:textId="77777777" w:rsidR="00D56107" w:rsidRPr="00B156D0" w:rsidRDefault="00D56107" w:rsidP="00DA6E19">
            <w:pPr>
              <w:spacing w:line="240" w:lineRule="auto"/>
              <w:jc w:val="right"/>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Fase 1</w:t>
            </w:r>
          </w:p>
        </w:tc>
        <w:tc>
          <w:tcPr>
            <w:tcW w:w="7130" w:type="dxa"/>
            <w:shd w:val="clear" w:color="auto" w:fill="auto"/>
            <w:vAlign w:val="center"/>
            <w:hideMark/>
          </w:tcPr>
          <w:p w14:paraId="07F675BA"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Eén vast aanspreekpunt: coördinerend zorgverlener</w:t>
            </w:r>
          </w:p>
        </w:tc>
        <w:tc>
          <w:tcPr>
            <w:tcW w:w="1528" w:type="dxa"/>
            <w:shd w:val="clear" w:color="auto" w:fill="auto"/>
            <w:vAlign w:val="center"/>
            <w:hideMark/>
          </w:tcPr>
          <w:p w14:paraId="150F249C"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vAlign w:val="center"/>
            <w:hideMark/>
          </w:tcPr>
          <w:p w14:paraId="00FC3C73"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0</w:t>
            </w:r>
          </w:p>
        </w:tc>
      </w:tr>
      <w:tr w:rsidR="00D56107" w:rsidRPr="00B156D0" w14:paraId="2D0FE61A" w14:textId="77777777" w:rsidTr="00DA6E19">
        <w:trPr>
          <w:trHeight w:val="315"/>
        </w:trPr>
        <w:tc>
          <w:tcPr>
            <w:tcW w:w="345" w:type="dxa"/>
            <w:shd w:val="clear" w:color="auto" w:fill="auto"/>
            <w:hideMark/>
          </w:tcPr>
          <w:p w14:paraId="268FC7D4"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74F1EA00" w14:textId="77777777" w:rsidR="00D56107" w:rsidRPr="00B156D0" w:rsidRDefault="00D56107" w:rsidP="00DA6E19">
            <w:pPr>
              <w:spacing w:line="240" w:lineRule="auto"/>
              <w:jc w:val="right"/>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Fase 1</w:t>
            </w:r>
          </w:p>
        </w:tc>
        <w:tc>
          <w:tcPr>
            <w:tcW w:w="7130" w:type="dxa"/>
            <w:shd w:val="clear" w:color="auto" w:fill="auto"/>
            <w:vAlign w:val="center"/>
            <w:hideMark/>
          </w:tcPr>
          <w:p w14:paraId="7FAB07F8"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Prenatale zorg</w:t>
            </w:r>
          </w:p>
        </w:tc>
        <w:tc>
          <w:tcPr>
            <w:tcW w:w="1528" w:type="dxa"/>
            <w:shd w:val="clear" w:color="auto" w:fill="auto"/>
            <w:vAlign w:val="center"/>
            <w:hideMark/>
          </w:tcPr>
          <w:p w14:paraId="5F5DAC9A"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vAlign w:val="center"/>
            <w:hideMark/>
          </w:tcPr>
          <w:p w14:paraId="27B3855C"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0</w:t>
            </w:r>
          </w:p>
        </w:tc>
      </w:tr>
      <w:tr w:rsidR="00D56107" w:rsidRPr="00B156D0" w14:paraId="75557598" w14:textId="77777777" w:rsidTr="00DA6E19">
        <w:trPr>
          <w:trHeight w:val="315"/>
        </w:trPr>
        <w:tc>
          <w:tcPr>
            <w:tcW w:w="345" w:type="dxa"/>
            <w:shd w:val="clear" w:color="auto" w:fill="auto"/>
            <w:hideMark/>
          </w:tcPr>
          <w:p w14:paraId="55FB3874"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21B19F25" w14:textId="77777777" w:rsidR="00D56107" w:rsidRPr="00B156D0" w:rsidRDefault="00D56107" w:rsidP="00DA6E19">
            <w:pPr>
              <w:spacing w:line="240" w:lineRule="auto"/>
              <w:jc w:val="right"/>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Fase 1</w:t>
            </w:r>
          </w:p>
        </w:tc>
        <w:tc>
          <w:tcPr>
            <w:tcW w:w="7130" w:type="dxa"/>
            <w:shd w:val="clear" w:color="auto" w:fill="auto"/>
            <w:vAlign w:val="center"/>
            <w:hideMark/>
          </w:tcPr>
          <w:p w14:paraId="36332296"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Zorg bij bevalling en geboorte</w:t>
            </w:r>
          </w:p>
        </w:tc>
        <w:tc>
          <w:tcPr>
            <w:tcW w:w="1528" w:type="dxa"/>
            <w:shd w:val="clear" w:color="auto" w:fill="auto"/>
            <w:vAlign w:val="center"/>
            <w:hideMark/>
          </w:tcPr>
          <w:p w14:paraId="62C2ADA8"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vAlign w:val="center"/>
            <w:hideMark/>
          </w:tcPr>
          <w:p w14:paraId="618CE5B7"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0</w:t>
            </w:r>
          </w:p>
        </w:tc>
      </w:tr>
      <w:tr w:rsidR="00D56107" w:rsidRPr="00B156D0" w14:paraId="5F7BE311" w14:textId="77777777" w:rsidTr="00DA6E19">
        <w:trPr>
          <w:trHeight w:val="315"/>
        </w:trPr>
        <w:tc>
          <w:tcPr>
            <w:tcW w:w="345" w:type="dxa"/>
            <w:shd w:val="clear" w:color="auto" w:fill="auto"/>
            <w:hideMark/>
          </w:tcPr>
          <w:p w14:paraId="6A8D396F"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46E142D9" w14:textId="77777777" w:rsidR="00D56107" w:rsidRPr="00B156D0" w:rsidRDefault="00D56107" w:rsidP="00DA6E19">
            <w:pPr>
              <w:spacing w:line="240" w:lineRule="auto"/>
              <w:jc w:val="right"/>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Fase 1</w:t>
            </w:r>
          </w:p>
        </w:tc>
        <w:tc>
          <w:tcPr>
            <w:tcW w:w="7130" w:type="dxa"/>
            <w:shd w:val="clear" w:color="auto" w:fill="auto"/>
            <w:vAlign w:val="center"/>
            <w:hideMark/>
          </w:tcPr>
          <w:p w14:paraId="4ACE4B69"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Zorg na de bevalling en geboorte</w:t>
            </w:r>
          </w:p>
        </w:tc>
        <w:tc>
          <w:tcPr>
            <w:tcW w:w="1528" w:type="dxa"/>
            <w:shd w:val="clear" w:color="auto" w:fill="auto"/>
            <w:vAlign w:val="center"/>
            <w:hideMark/>
          </w:tcPr>
          <w:p w14:paraId="672FC70B"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vAlign w:val="center"/>
            <w:hideMark/>
          </w:tcPr>
          <w:p w14:paraId="2EF3F146"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0</w:t>
            </w:r>
          </w:p>
        </w:tc>
      </w:tr>
      <w:tr w:rsidR="00D56107" w:rsidRPr="00B156D0" w14:paraId="0AF16084" w14:textId="77777777" w:rsidTr="00DA6E19">
        <w:trPr>
          <w:trHeight w:val="315"/>
        </w:trPr>
        <w:tc>
          <w:tcPr>
            <w:tcW w:w="345" w:type="dxa"/>
            <w:shd w:val="clear" w:color="auto" w:fill="auto"/>
            <w:hideMark/>
          </w:tcPr>
          <w:p w14:paraId="2EC2FECF"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09B619CD" w14:textId="77777777" w:rsidR="00D56107" w:rsidRPr="00B156D0" w:rsidRDefault="00D56107" w:rsidP="00DA6E19">
            <w:pPr>
              <w:spacing w:line="240" w:lineRule="auto"/>
              <w:jc w:val="right"/>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Fase 1</w:t>
            </w:r>
          </w:p>
        </w:tc>
        <w:tc>
          <w:tcPr>
            <w:tcW w:w="7130" w:type="dxa"/>
            <w:shd w:val="clear" w:color="auto" w:fill="auto"/>
            <w:vAlign w:val="center"/>
            <w:hideMark/>
          </w:tcPr>
          <w:p w14:paraId="2A0895B5"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Acute zorg</w:t>
            </w:r>
          </w:p>
        </w:tc>
        <w:tc>
          <w:tcPr>
            <w:tcW w:w="1528" w:type="dxa"/>
            <w:shd w:val="clear" w:color="auto" w:fill="auto"/>
            <w:vAlign w:val="center"/>
            <w:hideMark/>
          </w:tcPr>
          <w:p w14:paraId="2663F821"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vAlign w:val="center"/>
            <w:hideMark/>
          </w:tcPr>
          <w:p w14:paraId="6432C661"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0</w:t>
            </w:r>
          </w:p>
        </w:tc>
      </w:tr>
      <w:tr w:rsidR="00D56107" w:rsidRPr="00B156D0" w14:paraId="695DB2E3" w14:textId="77777777" w:rsidTr="00DA6E19">
        <w:trPr>
          <w:trHeight w:val="315"/>
        </w:trPr>
        <w:tc>
          <w:tcPr>
            <w:tcW w:w="345" w:type="dxa"/>
            <w:shd w:val="clear" w:color="auto" w:fill="auto"/>
            <w:hideMark/>
          </w:tcPr>
          <w:p w14:paraId="6910634B"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34BE2F0E" w14:textId="77777777" w:rsidR="00D56107" w:rsidRPr="00B156D0" w:rsidRDefault="00D56107" w:rsidP="00DA6E19">
            <w:pPr>
              <w:spacing w:line="240" w:lineRule="auto"/>
              <w:jc w:val="right"/>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Fase 1</w:t>
            </w:r>
          </w:p>
        </w:tc>
        <w:tc>
          <w:tcPr>
            <w:tcW w:w="7130" w:type="dxa"/>
            <w:shd w:val="clear" w:color="auto" w:fill="auto"/>
            <w:vAlign w:val="center"/>
            <w:hideMark/>
          </w:tcPr>
          <w:p w14:paraId="7F1FFAC2"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Verloskundig samenwerkingsverband muv zorg aan kwetsbare vrouwen en clientenraad</w:t>
            </w:r>
          </w:p>
        </w:tc>
        <w:tc>
          <w:tcPr>
            <w:tcW w:w="1528" w:type="dxa"/>
            <w:shd w:val="clear" w:color="auto" w:fill="auto"/>
            <w:vAlign w:val="center"/>
            <w:hideMark/>
          </w:tcPr>
          <w:p w14:paraId="08E3DA0B"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vAlign w:val="center"/>
            <w:hideMark/>
          </w:tcPr>
          <w:p w14:paraId="28308B53"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0</w:t>
            </w:r>
          </w:p>
        </w:tc>
      </w:tr>
      <w:tr w:rsidR="00D56107" w:rsidRPr="00B156D0" w14:paraId="28569B7D" w14:textId="77777777" w:rsidTr="00DA6E19">
        <w:trPr>
          <w:trHeight w:val="315"/>
        </w:trPr>
        <w:tc>
          <w:tcPr>
            <w:tcW w:w="345" w:type="dxa"/>
            <w:shd w:val="clear" w:color="auto" w:fill="auto"/>
            <w:hideMark/>
          </w:tcPr>
          <w:p w14:paraId="4AA49019"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2638DC8F" w14:textId="77777777" w:rsidR="00D56107" w:rsidRPr="00B156D0" w:rsidRDefault="00D56107" w:rsidP="00DA6E19">
            <w:pPr>
              <w:spacing w:line="240" w:lineRule="auto"/>
              <w:jc w:val="right"/>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Fase 2</w:t>
            </w:r>
          </w:p>
        </w:tc>
        <w:tc>
          <w:tcPr>
            <w:tcW w:w="7130" w:type="dxa"/>
            <w:shd w:val="clear" w:color="auto" w:fill="auto"/>
            <w:noWrap/>
            <w:vAlign w:val="center"/>
            <w:hideMark/>
          </w:tcPr>
          <w:p w14:paraId="6E722CBE" w14:textId="77777777" w:rsidR="00D56107" w:rsidRPr="00B156D0" w:rsidRDefault="00D56107" w:rsidP="00DA6E19">
            <w:pPr>
              <w:spacing w:line="240" w:lineRule="auto"/>
              <w:jc w:val="both"/>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Adequate voorlichting en counseling</w:t>
            </w:r>
          </w:p>
        </w:tc>
        <w:tc>
          <w:tcPr>
            <w:tcW w:w="1528" w:type="dxa"/>
            <w:shd w:val="clear" w:color="auto" w:fill="auto"/>
            <w:noWrap/>
            <w:vAlign w:val="center"/>
            <w:hideMark/>
          </w:tcPr>
          <w:p w14:paraId="2D2B6A36"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vAlign w:val="center"/>
            <w:hideMark/>
          </w:tcPr>
          <w:p w14:paraId="759676C0"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1</w:t>
            </w:r>
          </w:p>
        </w:tc>
      </w:tr>
      <w:tr w:rsidR="00D56107" w:rsidRPr="00B156D0" w14:paraId="5BE6FF6E" w14:textId="77777777" w:rsidTr="00DA6E19">
        <w:trPr>
          <w:trHeight w:val="315"/>
        </w:trPr>
        <w:tc>
          <w:tcPr>
            <w:tcW w:w="345" w:type="dxa"/>
            <w:shd w:val="clear" w:color="auto" w:fill="auto"/>
            <w:hideMark/>
          </w:tcPr>
          <w:p w14:paraId="1D97C814"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62E36D8C" w14:textId="77777777" w:rsidR="00D56107" w:rsidRPr="00B156D0" w:rsidRDefault="00D56107" w:rsidP="00DA6E19">
            <w:pPr>
              <w:spacing w:line="240" w:lineRule="auto"/>
              <w:jc w:val="right"/>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Fase 2</w:t>
            </w:r>
          </w:p>
        </w:tc>
        <w:tc>
          <w:tcPr>
            <w:tcW w:w="7130" w:type="dxa"/>
            <w:shd w:val="clear" w:color="auto" w:fill="auto"/>
            <w:noWrap/>
            <w:vAlign w:val="center"/>
            <w:hideMark/>
          </w:tcPr>
          <w:p w14:paraId="49EE7C3C" w14:textId="77777777" w:rsidR="00D56107" w:rsidRPr="00B156D0" w:rsidRDefault="00D56107" w:rsidP="00DA6E19">
            <w:pPr>
              <w:spacing w:line="240" w:lineRule="auto"/>
              <w:jc w:val="both"/>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Individueel geboortezorgplan</w:t>
            </w:r>
          </w:p>
        </w:tc>
        <w:tc>
          <w:tcPr>
            <w:tcW w:w="1528" w:type="dxa"/>
            <w:shd w:val="clear" w:color="auto" w:fill="auto"/>
            <w:vAlign w:val="center"/>
            <w:hideMark/>
          </w:tcPr>
          <w:p w14:paraId="5D20E49C"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vAlign w:val="center"/>
            <w:hideMark/>
          </w:tcPr>
          <w:p w14:paraId="51EF1434"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1</w:t>
            </w:r>
          </w:p>
        </w:tc>
      </w:tr>
      <w:tr w:rsidR="00D56107" w:rsidRPr="00B156D0" w14:paraId="5D2E214E" w14:textId="77777777" w:rsidTr="00DA6E19">
        <w:trPr>
          <w:trHeight w:val="315"/>
        </w:trPr>
        <w:tc>
          <w:tcPr>
            <w:tcW w:w="345" w:type="dxa"/>
            <w:shd w:val="clear" w:color="auto" w:fill="auto"/>
            <w:hideMark/>
          </w:tcPr>
          <w:p w14:paraId="47E2186B"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47CFAB92" w14:textId="77777777" w:rsidR="00D56107" w:rsidRPr="00B156D0" w:rsidRDefault="00D56107" w:rsidP="00DA6E19">
            <w:pPr>
              <w:spacing w:line="240" w:lineRule="auto"/>
              <w:jc w:val="right"/>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Fase 2</w:t>
            </w:r>
          </w:p>
        </w:tc>
        <w:tc>
          <w:tcPr>
            <w:tcW w:w="7130" w:type="dxa"/>
            <w:shd w:val="clear" w:color="auto" w:fill="auto"/>
            <w:noWrap/>
            <w:vAlign w:val="center"/>
            <w:hideMark/>
          </w:tcPr>
          <w:p w14:paraId="04F5CCB2" w14:textId="77777777" w:rsidR="00D56107" w:rsidRPr="00B156D0" w:rsidRDefault="00D56107" w:rsidP="00DA6E19">
            <w:pPr>
              <w:spacing w:line="240" w:lineRule="auto"/>
              <w:jc w:val="both"/>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Preconceptiezorg</w:t>
            </w:r>
          </w:p>
        </w:tc>
        <w:tc>
          <w:tcPr>
            <w:tcW w:w="1528" w:type="dxa"/>
            <w:shd w:val="clear" w:color="auto" w:fill="auto"/>
            <w:vAlign w:val="center"/>
            <w:hideMark/>
          </w:tcPr>
          <w:p w14:paraId="64BA752B"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vAlign w:val="center"/>
            <w:hideMark/>
          </w:tcPr>
          <w:p w14:paraId="602DEEC7"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1</w:t>
            </w:r>
          </w:p>
        </w:tc>
      </w:tr>
      <w:tr w:rsidR="00D56107" w:rsidRPr="00B156D0" w14:paraId="391C25C2" w14:textId="77777777" w:rsidTr="00DA6E19">
        <w:trPr>
          <w:trHeight w:val="315"/>
        </w:trPr>
        <w:tc>
          <w:tcPr>
            <w:tcW w:w="345" w:type="dxa"/>
            <w:shd w:val="clear" w:color="auto" w:fill="auto"/>
            <w:hideMark/>
          </w:tcPr>
          <w:p w14:paraId="4DC0A572"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7297E6C5" w14:textId="77777777" w:rsidR="00D56107" w:rsidRPr="00B156D0" w:rsidRDefault="00D56107" w:rsidP="00DA6E19">
            <w:pPr>
              <w:spacing w:line="240" w:lineRule="auto"/>
              <w:jc w:val="right"/>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Fase 2</w:t>
            </w:r>
          </w:p>
        </w:tc>
        <w:tc>
          <w:tcPr>
            <w:tcW w:w="7130" w:type="dxa"/>
            <w:shd w:val="clear" w:color="auto" w:fill="auto"/>
            <w:noWrap/>
            <w:vAlign w:val="center"/>
            <w:hideMark/>
          </w:tcPr>
          <w:p w14:paraId="487D0409" w14:textId="77777777" w:rsidR="00D56107" w:rsidRPr="00B156D0" w:rsidRDefault="00D56107" w:rsidP="00DA6E19">
            <w:pPr>
              <w:spacing w:line="240" w:lineRule="auto"/>
              <w:jc w:val="both"/>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Doorontwikkeling verloskundig samenwerkingsverband</w:t>
            </w:r>
          </w:p>
        </w:tc>
        <w:tc>
          <w:tcPr>
            <w:tcW w:w="1528" w:type="dxa"/>
            <w:shd w:val="clear" w:color="auto" w:fill="auto"/>
            <w:noWrap/>
            <w:vAlign w:val="center"/>
            <w:hideMark/>
          </w:tcPr>
          <w:p w14:paraId="7F109978"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vAlign w:val="center"/>
            <w:hideMark/>
          </w:tcPr>
          <w:p w14:paraId="3ADC8662"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1</w:t>
            </w:r>
          </w:p>
        </w:tc>
      </w:tr>
      <w:tr w:rsidR="00D56107" w:rsidRPr="00B156D0" w14:paraId="0F36FDB4" w14:textId="77777777" w:rsidTr="00DA6E19">
        <w:trPr>
          <w:trHeight w:val="315"/>
        </w:trPr>
        <w:tc>
          <w:tcPr>
            <w:tcW w:w="345" w:type="dxa"/>
            <w:shd w:val="clear" w:color="auto" w:fill="auto"/>
            <w:hideMark/>
          </w:tcPr>
          <w:p w14:paraId="07E15A3F"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6B4FE366" w14:textId="77777777" w:rsidR="00D56107" w:rsidRPr="00B156D0" w:rsidRDefault="00D56107" w:rsidP="00DA6E19">
            <w:pPr>
              <w:spacing w:line="240" w:lineRule="auto"/>
              <w:jc w:val="right"/>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Fase 3</w:t>
            </w:r>
          </w:p>
        </w:tc>
        <w:tc>
          <w:tcPr>
            <w:tcW w:w="7130" w:type="dxa"/>
            <w:shd w:val="clear" w:color="auto" w:fill="auto"/>
            <w:noWrap/>
            <w:vAlign w:val="center"/>
            <w:hideMark/>
          </w:tcPr>
          <w:p w14:paraId="72D3A8F4" w14:textId="77777777" w:rsidR="00D56107" w:rsidRPr="00B156D0" w:rsidRDefault="00D56107" w:rsidP="00DA6E19">
            <w:pPr>
              <w:spacing w:line="240" w:lineRule="auto"/>
              <w:jc w:val="both"/>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Perinataal Webdossier</w:t>
            </w:r>
          </w:p>
        </w:tc>
        <w:tc>
          <w:tcPr>
            <w:tcW w:w="1528" w:type="dxa"/>
            <w:shd w:val="clear" w:color="auto" w:fill="auto"/>
            <w:noWrap/>
            <w:vAlign w:val="center"/>
            <w:hideMark/>
          </w:tcPr>
          <w:p w14:paraId="3D057DDF"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c>
          <w:tcPr>
            <w:tcW w:w="822" w:type="dxa"/>
            <w:shd w:val="clear" w:color="auto" w:fill="auto"/>
            <w:vAlign w:val="center"/>
            <w:hideMark/>
          </w:tcPr>
          <w:p w14:paraId="16BA96C7"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r>
      <w:tr w:rsidR="00D56107" w:rsidRPr="00B156D0" w14:paraId="5B0AA9F9" w14:textId="77777777" w:rsidTr="00DA6E19">
        <w:trPr>
          <w:trHeight w:val="315"/>
        </w:trPr>
        <w:tc>
          <w:tcPr>
            <w:tcW w:w="345" w:type="dxa"/>
            <w:shd w:val="clear" w:color="auto" w:fill="auto"/>
            <w:hideMark/>
          </w:tcPr>
          <w:p w14:paraId="4BAF98B7"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2A827268" w14:textId="77777777" w:rsidR="00D56107" w:rsidRPr="00B156D0" w:rsidRDefault="00D56107" w:rsidP="00DA6E19">
            <w:pPr>
              <w:spacing w:line="240" w:lineRule="auto"/>
              <w:jc w:val="right"/>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Fase 3</w:t>
            </w:r>
          </w:p>
        </w:tc>
        <w:tc>
          <w:tcPr>
            <w:tcW w:w="7130" w:type="dxa"/>
            <w:shd w:val="clear" w:color="auto" w:fill="auto"/>
            <w:noWrap/>
            <w:vAlign w:val="center"/>
            <w:hideMark/>
          </w:tcPr>
          <w:p w14:paraId="696BD606" w14:textId="77777777" w:rsidR="00D56107" w:rsidRPr="00B156D0" w:rsidRDefault="00D56107" w:rsidP="00DA6E19">
            <w:pPr>
              <w:spacing w:line="240" w:lineRule="auto"/>
              <w:jc w:val="both"/>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Aandacht voor vrouwen met lage gezondheidsvaardigheden</w:t>
            </w:r>
          </w:p>
        </w:tc>
        <w:tc>
          <w:tcPr>
            <w:tcW w:w="1528" w:type="dxa"/>
            <w:shd w:val="clear" w:color="auto" w:fill="auto"/>
            <w:noWrap/>
            <w:vAlign w:val="center"/>
            <w:hideMark/>
          </w:tcPr>
          <w:p w14:paraId="68FE80A4"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c>
          <w:tcPr>
            <w:tcW w:w="822" w:type="dxa"/>
            <w:shd w:val="clear" w:color="auto" w:fill="auto"/>
            <w:vAlign w:val="center"/>
            <w:hideMark/>
          </w:tcPr>
          <w:p w14:paraId="0699F2F7"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r>
      <w:tr w:rsidR="00D56107" w:rsidRPr="00B156D0" w14:paraId="6FDCA891" w14:textId="77777777" w:rsidTr="00DA6E19">
        <w:trPr>
          <w:trHeight w:val="315"/>
        </w:trPr>
        <w:tc>
          <w:tcPr>
            <w:tcW w:w="345" w:type="dxa"/>
            <w:shd w:val="clear" w:color="auto" w:fill="auto"/>
            <w:hideMark/>
          </w:tcPr>
          <w:p w14:paraId="432790CB"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lastRenderedPageBreak/>
              <w:sym w:font="Symbol" w:char="F0A0"/>
            </w:r>
          </w:p>
        </w:tc>
        <w:tc>
          <w:tcPr>
            <w:tcW w:w="3395" w:type="dxa"/>
            <w:shd w:val="clear" w:color="auto" w:fill="auto"/>
            <w:vAlign w:val="center"/>
            <w:hideMark/>
          </w:tcPr>
          <w:p w14:paraId="5FEAA5B1"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Missie en visie</w:t>
            </w:r>
          </w:p>
        </w:tc>
        <w:tc>
          <w:tcPr>
            <w:tcW w:w="7130" w:type="dxa"/>
            <w:shd w:val="clear" w:color="auto" w:fill="auto"/>
            <w:vAlign w:val="center"/>
            <w:hideMark/>
          </w:tcPr>
          <w:p w14:paraId="47E3715C"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Het VSV/IGO heeft een Missie en Visie geformuleerd</w:t>
            </w:r>
          </w:p>
        </w:tc>
        <w:tc>
          <w:tcPr>
            <w:tcW w:w="1528" w:type="dxa"/>
            <w:shd w:val="clear" w:color="auto" w:fill="auto"/>
            <w:noWrap/>
            <w:vAlign w:val="center"/>
            <w:hideMark/>
          </w:tcPr>
          <w:p w14:paraId="7B80AC23"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vAlign w:val="center"/>
            <w:hideMark/>
          </w:tcPr>
          <w:p w14:paraId="1258B321"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1</w:t>
            </w:r>
          </w:p>
        </w:tc>
      </w:tr>
      <w:tr w:rsidR="00D56107" w:rsidRPr="00B156D0" w14:paraId="62B04684" w14:textId="77777777" w:rsidTr="00DA6E19">
        <w:trPr>
          <w:trHeight w:val="900"/>
        </w:trPr>
        <w:tc>
          <w:tcPr>
            <w:tcW w:w="345" w:type="dxa"/>
            <w:shd w:val="clear" w:color="auto" w:fill="auto"/>
            <w:hideMark/>
          </w:tcPr>
          <w:p w14:paraId="7F3BA9A0"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2EE74F25" w14:textId="77777777" w:rsidR="00D56107" w:rsidRPr="00B156D0" w:rsidRDefault="00D56107" w:rsidP="00DA6E19">
            <w:pPr>
              <w:spacing w:line="240" w:lineRule="auto"/>
              <w:jc w:val="both"/>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 xml:space="preserve">Opstellen Meerjarenbeleidsplan </w:t>
            </w:r>
          </w:p>
        </w:tc>
        <w:tc>
          <w:tcPr>
            <w:tcW w:w="7130" w:type="dxa"/>
            <w:shd w:val="clear" w:color="auto" w:fill="auto"/>
            <w:vAlign w:val="center"/>
            <w:hideMark/>
          </w:tcPr>
          <w:p w14:paraId="7AD40732"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bookmarkStart w:id="2" w:name="RANGE!C22"/>
            <w:r w:rsidRPr="00B156D0">
              <w:rPr>
                <w:rFonts w:asciiTheme="minorHAnsi" w:eastAsia="Times New Roman" w:hAnsiTheme="minorHAnsi" w:cstheme="minorHAnsi"/>
                <w:color w:val="000000"/>
                <w:sz w:val="18"/>
                <w:szCs w:val="16"/>
                <w:lang w:eastAsia="nl-NL"/>
              </w:rPr>
              <w:t>Door het VSV/IGO wordt een meerjarenbeleidsplan opgesteld voor een periode van 3 - 5 jaar, geaccordeerd door alle leden. Dit meerjarenbeleidsplan bevat tenminste de missie en visie van de organisatie, strategische doelstellingen en benodigde middelen. Het meerjarenbeleidsplan wordt jaarlijks geëvalueerd en zo nodig bijgesteld</w:t>
            </w:r>
            <w:bookmarkEnd w:id="2"/>
          </w:p>
        </w:tc>
        <w:tc>
          <w:tcPr>
            <w:tcW w:w="1528" w:type="dxa"/>
            <w:shd w:val="clear" w:color="auto" w:fill="auto"/>
            <w:noWrap/>
            <w:vAlign w:val="center"/>
            <w:hideMark/>
          </w:tcPr>
          <w:p w14:paraId="3324F151"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noWrap/>
            <w:vAlign w:val="center"/>
            <w:hideMark/>
          </w:tcPr>
          <w:p w14:paraId="2B4A767C"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1</w:t>
            </w:r>
          </w:p>
        </w:tc>
      </w:tr>
      <w:tr w:rsidR="00D56107" w:rsidRPr="00B156D0" w14:paraId="058E2D4A" w14:textId="77777777" w:rsidTr="00DA6E19">
        <w:trPr>
          <w:trHeight w:val="675"/>
        </w:trPr>
        <w:tc>
          <w:tcPr>
            <w:tcW w:w="345" w:type="dxa"/>
            <w:shd w:val="clear" w:color="auto" w:fill="auto"/>
            <w:hideMark/>
          </w:tcPr>
          <w:p w14:paraId="1F8E1D22"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2A005966" w14:textId="77777777" w:rsidR="00D56107" w:rsidRPr="00B156D0" w:rsidRDefault="00D56107" w:rsidP="00DA6E19">
            <w:pPr>
              <w:spacing w:line="240" w:lineRule="auto"/>
              <w:jc w:val="both"/>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Schrijven Kwaliteitsjaarplan</w:t>
            </w:r>
          </w:p>
        </w:tc>
        <w:tc>
          <w:tcPr>
            <w:tcW w:w="7130" w:type="dxa"/>
            <w:shd w:val="clear" w:color="auto" w:fill="auto"/>
            <w:vAlign w:val="center"/>
            <w:hideMark/>
          </w:tcPr>
          <w:p w14:paraId="6A7272CC"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bookmarkStart w:id="3" w:name="RANGE!C23"/>
            <w:r w:rsidRPr="00B156D0">
              <w:rPr>
                <w:rFonts w:asciiTheme="minorHAnsi" w:eastAsia="Times New Roman" w:hAnsiTheme="minorHAnsi" w:cstheme="minorHAnsi"/>
                <w:color w:val="000000"/>
                <w:sz w:val="18"/>
                <w:szCs w:val="16"/>
                <w:lang w:eastAsia="nl-NL"/>
              </w:rPr>
              <w:t>Op basis van het meerjarenbeleidsplan wordt jaarlijks een kwaliteitsjaarplan geschreven met SMART (Specifiek, Meetbaar, Acceptabel, Realistisch en Tijdgebonden) geformuleerde doelstellingen.</w:t>
            </w:r>
            <w:bookmarkEnd w:id="3"/>
          </w:p>
        </w:tc>
        <w:tc>
          <w:tcPr>
            <w:tcW w:w="1528" w:type="dxa"/>
            <w:shd w:val="clear" w:color="auto" w:fill="auto"/>
            <w:noWrap/>
            <w:vAlign w:val="center"/>
            <w:hideMark/>
          </w:tcPr>
          <w:p w14:paraId="43AAE6A8"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noWrap/>
            <w:vAlign w:val="center"/>
            <w:hideMark/>
          </w:tcPr>
          <w:p w14:paraId="0E5FA01D"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1</w:t>
            </w:r>
          </w:p>
        </w:tc>
      </w:tr>
      <w:tr w:rsidR="00D56107" w:rsidRPr="00B156D0" w14:paraId="2867872B" w14:textId="77777777" w:rsidTr="00DA6E19">
        <w:trPr>
          <w:trHeight w:val="900"/>
        </w:trPr>
        <w:tc>
          <w:tcPr>
            <w:tcW w:w="345" w:type="dxa"/>
            <w:shd w:val="clear" w:color="auto" w:fill="auto"/>
            <w:hideMark/>
          </w:tcPr>
          <w:p w14:paraId="3A6C1E90"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60DD5A5E"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Kwaliteitsjaarverslag</w:t>
            </w:r>
          </w:p>
        </w:tc>
        <w:tc>
          <w:tcPr>
            <w:tcW w:w="7130" w:type="dxa"/>
            <w:shd w:val="clear" w:color="auto" w:fill="auto"/>
            <w:vAlign w:val="center"/>
            <w:hideMark/>
          </w:tcPr>
          <w:p w14:paraId="26E0C31C"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bookmarkStart w:id="4" w:name="RANGE!C24"/>
            <w:r w:rsidRPr="00B156D0">
              <w:rPr>
                <w:rFonts w:asciiTheme="minorHAnsi" w:eastAsia="Times New Roman" w:hAnsiTheme="minorHAnsi" w:cstheme="minorHAnsi"/>
                <w:color w:val="000000"/>
                <w:sz w:val="18"/>
                <w:szCs w:val="16"/>
                <w:lang w:eastAsia="nl-NL"/>
              </w:rPr>
              <w:t>Jaarlijks wordt een kwaliteitsjaarverslag geschreven waarin gereflecteerd wordt op doelstellingen zoals geformuleerd in het jaarplan. Op basis van behaalde resultaten en strategische doelstellingen uit het meerjarenbeleidsplan wordt een nieuw jaarplan opgesteld (aan de hand van de uitkomsten van de PDCA-cyclus)[3].</w:t>
            </w:r>
            <w:bookmarkEnd w:id="4"/>
          </w:p>
        </w:tc>
        <w:tc>
          <w:tcPr>
            <w:tcW w:w="1528" w:type="dxa"/>
            <w:shd w:val="clear" w:color="auto" w:fill="auto"/>
            <w:noWrap/>
            <w:vAlign w:val="center"/>
            <w:hideMark/>
          </w:tcPr>
          <w:p w14:paraId="17A9BF6C"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shd w:val="clear" w:color="auto" w:fill="auto"/>
            <w:noWrap/>
            <w:vAlign w:val="center"/>
            <w:hideMark/>
          </w:tcPr>
          <w:p w14:paraId="66215931"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1</w:t>
            </w:r>
          </w:p>
        </w:tc>
      </w:tr>
      <w:tr w:rsidR="00D56107" w:rsidRPr="00B156D0" w14:paraId="3C19AF6B" w14:textId="77777777" w:rsidTr="00DA6E19">
        <w:trPr>
          <w:trHeight w:val="675"/>
        </w:trPr>
        <w:tc>
          <w:tcPr>
            <w:tcW w:w="345" w:type="dxa"/>
            <w:vMerge w:val="restart"/>
            <w:shd w:val="clear" w:color="auto" w:fill="auto"/>
            <w:hideMark/>
          </w:tcPr>
          <w:p w14:paraId="26B93259"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29CD3CE0"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Perinatale audits</w:t>
            </w:r>
          </w:p>
        </w:tc>
        <w:tc>
          <w:tcPr>
            <w:tcW w:w="7130" w:type="dxa"/>
            <w:shd w:val="clear" w:color="auto" w:fill="auto"/>
            <w:vAlign w:val="center"/>
            <w:hideMark/>
          </w:tcPr>
          <w:p w14:paraId="41A52E39"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Elk half jaar worden met alle zorgverleners perinatale auditbijeenkomsten gehouden waarin opgetreden perinatale sterftes besproken en geëvalueerd worden. Zo nodig worden verbetertrajecten beschreven en in gang gezet.</w:t>
            </w:r>
          </w:p>
        </w:tc>
        <w:tc>
          <w:tcPr>
            <w:tcW w:w="1528" w:type="dxa"/>
            <w:vMerge w:val="restart"/>
            <w:shd w:val="clear" w:color="auto" w:fill="auto"/>
            <w:noWrap/>
            <w:vAlign w:val="center"/>
            <w:hideMark/>
          </w:tcPr>
          <w:p w14:paraId="78EB1A2B"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vMerge w:val="restart"/>
            <w:shd w:val="clear" w:color="auto" w:fill="auto"/>
            <w:noWrap/>
            <w:vAlign w:val="center"/>
            <w:hideMark/>
          </w:tcPr>
          <w:p w14:paraId="6E57DF2D"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1</w:t>
            </w:r>
          </w:p>
        </w:tc>
      </w:tr>
      <w:tr w:rsidR="00D56107" w:rsidRPr="00B156D0" w14:paraId="3EE98695" w14:textId="77777777" w:rsidTr="00DA6E19">
        <w:trPr>
          <w:trHeight w:val="255"/>
        </w:trPr>
        <w:tc>
          <w:tcPr>
            <w:tcW w:w="345" w:type="dxa"/>
            <w:vMerge/>
            <w:hideMark/>
          </w:tcPr>
          <w:p w14:paraId="406B6F44"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749863E8"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153DC42E"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wordt geëvalueerd of de hieruit geformuleerde verbetertrajecten geïmplementeerd zijn.</w:t>
            </w:r>
          </w:p>
        </w:tc>
        <w:tc>
          <w:tcPr>
            <w:tcW w:w="1528" w:type="dxa"/>
            <w:vMerge/>
            <w:vAlign w:val="center"/>
            <w:hideMark/>
          </w:tcPr>
          <w:p w14:paraId="7D9BC6CA"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5C26286B"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4A078D7A" w14:textId="77777777" w:rsidTr="00DA6E19">
        <w:trPr>
          <w:trHeight w:val="675"/>
        </w:trPr>
        <w:tc>
          <w:tcPr>
            <w:tcW w:w="345" w:type="dxa"/>
            <w:vMerge w:val="restart"/>
            <w:shd w:val="clear" w:color="auto" w:fill="auto"/>
            <w:hideMark/>
          </w:tcPr>
          <w:p w14:paraId="1FDCE9AF"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78FD9319"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Protocollen, richtlijnen, standaarden, zorgpaden, werkinstructies- en afspraken</w:t>
            </w:r>
          </w:p>
        </w:tc>
        <w:tc>
          <w:tcPr>
            <w:tcW w:w="7130" w:type="dxa"/>
            <w:shd w:val="clear" w:color="auto" w:fill="auto"/>
            <w:vAlign w:val="center"/>
            <w:hideMark/>
          </w:tcPr>
          <w:p w14:paraId="33010C96"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Binnen het VSV/IGO worden de aanwezige protocollen, standaarden, zorgpaden en werkafspraken beschreven en wordt vastgesteld wanneer ze geëvalueerd dienen te worden (bijvoorbeeld elke 2 jaar).</w:t>
            </w:r>
          </w:p>
        </w:tc>
        <w:tc>
          <w:tcPr>
            <w:tcW w:w="1528" w:type="dxa"/>
            <w:vMerge w:val="restart"/>
            <w:shd w:val="clear" w:color="auto" w:fill="auto"/>
            <w:noWrap/>
            <w:vAlign w:val="center"/>
            <w:hideMark/>
          </w:tcPr>
          <w:p w14:paraId="4A4C9C8D"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vMerge w:val="restart"/>
            <w:shd w:val="clear" w:color="auto" w:fill="auto"/>
            <w:noWrap/>
            <w:vAlign w:val="center"/>
            <w:hideMark/>
          </w:tcPr>
          <w:p w14:paraId="781EA0B1"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1</w:t>
            </w:r>
          </w:p>
        </w:tc>
      </w:tr>
      <w:tr w:rsidR="00D56107" w:rsidRPr="00B156D0" w14:paraId="0C7A140E" w14:textId="77777777" w:rsidTr="00DA6E19">
        <w:trPr>
          <w:trHeight w:val="675"/>
        </w:trPr>
        <w:tc>
          <w:tcPr>
            <w:tcW w:w="345" w:type="dxa"/>
            <w:vMerge/>
            <w:hideMark/>
          </w:tcPr>
          <w:p w14:paraId="1ECB5FCF"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7B273D8B"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2B710A4A"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bookmarkStart w:id="5" w:name="RANGE!C28"/>
            <w:r w:rsidRPr="00B156D0">
              <w:rPr>
                <w:rFonts w:asciiTheme="minorHAnsi" w:eastAsia="Times New Roman" w:hAnsiTheme="minorHAnsi" w:cstheme="minorHAnsi"/>
                <w:color w:val="000000"/>
                <w:sz w:val="18"/>
                <w:szCs w:val="16"/>
                <w:lang w:eastAsia="nl-NL"/>
              </w:rPr>
              <w:t>Jaarlijks wordt bekeken welke beschreven protocollen, standaarden, zorgpaden en werkafspraken bijgesteld dienen te worden en of nieuwe protocollen opgesteld dienen te worden.</w:t>
            </w:r>
            <w:bookmarkEnd w:id="5"/>
          </w:p>
        </w:tc>
        <w:tc>
          <w:tcPr>
            <w:tcW w:w="1528" w:type="dxa"/>
            <w:vMerge/>
            <w:vAlign w:val="center"/>
            <w:hideMark/>
          </w:tcPr>
          <w:p w14:paraId="2AA4780D"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029E42EC"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40D3A335" w14:textId="77777777" w:rsidTr="00DA6E19">
        <w:trPr>
          <w:trHeight w:val="675"/>
        </w:trPr>
        <w:tc>
          <w:tcPr>
            <w:tcW w:w="345" w:type="dxa"/>
            <w:vMerge w:val="restart"/>
            <w:shd w:val="clear" w:color="auto" w:fill="auto"/>
            <w:hideMark/>
          </w:tcPr>
          <w:p w14:paraId="42601908"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7BAD1E5C"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Perined Insight</w:t>
            </w:r>
          </w:p>
        </w:tc>
        <w:tc>
          <w:tcPr>
            <w:tcW w:w="7130" w:type="dxa"/>
            <w:shd w:val="clear" w:color="auto" w:fill="auto"/>
            <w:vAlign w:val="center"/>
            <w:hideMark/>
          </w:tcPr>
          <w:p w14:paraId="3B72B7DE"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footnoteReference w:customMarkFollows="1" w:id="1"/>
              <w:t>Jaarlijks bespreken betrokken zorgverleners binnen het VSV/IGO de kwaliteitsgegevens uit Perined Insight en spiegelen deze aan hun gegevens uit voorgaande jaren en met het landelijke gemiddelde. Zo nodig worden verbetertrajecten geformuleerd met SMART doelstellingen.</w:t>
            </w:r>
          </w:p>
        </w:tc>
        <w:tc>
          <w:tcPr>
            <w:tcW w:w="1528" w:type="dxa"/>
            <w:vMerge w:val="restart"/>
            <w:shd w:val="clear" w:color="auto" w:fill="auto"/>
            <w:noWrap/>
            <w:vAlign w:val="center"/>
            <w:hideMark/>
          </w:tcPr>
          <w:p w14:paraId="329089EC"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vMerge w:val="restart"/>
            <w:shd w:val="clear" w:color="auto" w:fill="auto"/>
            <w:noWrap/>
            <w:vAlign w:val="center"/>
            <w:hideMark/>
          </w:tcPr>
          <w:p w14:paraId="6E07EB1D"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1</w:t>
            </w:r>
          </w:p>
        </w:tc>
      </w:tr>
      <w:tr w:rsidR="00D56107" w:rsidRPr="00B156D0" w14:paraId="232B224A" w14:textId="77777777" w:rsidTr="00DA6E19">
        <w:trPr>
          <w:trHeight w:val="450"/>
        </w:trPr>
        <w:tc>
          <w:tcPr>
            <w:tcW w:w="345" w:type="dxa"/>
            <w:vMerge/>
            <w:hideMark/>
          </w:tcPr>
          <w:p w14:paraId="122902D8"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4A5EE319"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353B0CA0"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bookmarkStart w:id="6" w:name="RANGE!C30"/>
            <w:r w:rsidRPr="00B156D0">
              <w:rPr>
                <w:rFonts w:asciiTheme="minorHAnsi" w:eastAsia="Times New Roman" w:hAnsiTheme="minorHAnsi" w:cstheme="minorHAnsi"/>
                <w:color w:val="000000"/>
                <w:sz w:val="18"/>
                <w:szCs w:val="16"/>
                <w:lang w:eastAsia="nl-NL"/>
              </w:rPr>
              <w:t>Jaarlijks worden geformuleerde verbetertrajecten gemonitord, besproken en zo nodig bijgesteld.</w:t>
            </w:r>
            <w:bookmarkEnd w:id="6"/>
          </w:p>
        </w:tc>
        <w:tc>
          <w:tcPr>
            <w:tcW w:w="1528" w:type="dxa"/>
            <w:vMerge/>
            <w:vAlign w:val="center"/>
            <w:hideMark/>
          </w:tcPr>
          <w:p w14:paraId="35602819"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44EF15FB"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3FC615FE" w14:textId="77777777" w:rsidTr="00DA6E19">
        <w:trPr>
          <w:trHeight w:val="675"/>
        </w:trPr>
        <w:tc>
          <w:tcPr>
            <w:tcW w:w="345" w:type="dxa"/>
            <w:vMerge w:val="restart"/>
            <w:shd w:val="clear" w:color="auto" w:fill="auto"/>
            <w:hideMark/>
          </w:tcPr>
          <w:p w14:paraId="48CF3E22"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518F829B"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Eisen Zorginstituut (opleveren indicatoren zorg-uitkomsten, clientervaringen)</w:t>
            </w:r>
          </w:p>
        </w:tc>
        <w:tc>
          <w:tcPr>
            <w:tcW w:w="7130" w:type="dxa"/>
            <w:shd w:val="clear" w:color="auto" w:fill="auto"/>
            <w:vAlign w:val="center"/>
            <w:hideMark/>
          </w:tcPr>
          <w:p w14:paraId="09924F80"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Het VSV/ IGO legt een werkwijze vast met betrekking tot de aanleveren van de kwaliteitsgegevens aan het Zorginstituut. Hierin staat beschreven wie welke gegevens levert aan bij wie en wie verantwoordelijk is voor de aanlevering aan het Zorginstituut.</w:t>
            </w:r>
          </w:p>
        </w:tc>
        <w:tc>
          <w:tcPr>
            <w:tcW w:w="1528" w:type="dxa"/>
            <w:vMerge w:val="restart"/>
            <w:shd w:val="clear" w:color="auto" w:fill="auto"/>
            <w:noWrap/>
            <w:vAlign w:val="center"/>
            <w:hideMark/>
          </w:tcPr>
          <w:p w14:paraId="4D009726"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vMerge w:val="restart"/>
            <w:shd w:val="clear" w:color="auto" w:fill="auto"/>
            <w:noWrap/>
            <w:vAlign w:val="center"/>
            <w:hideMark/>
          </w:tcPr>
          <w:p w14:paraId="2AB368BE"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1</w:t>
            </w:r>
          </w:p>
        </w:tc>
      </w:tr>
      <w:tr w:rsidR="00D56107" w:rsidRPr="00B156D0" w14:paraId="2C8B6DCA" w14:textId="77777777" w:rsidTr="00DA6E19">
        <w:trPr>
          <w:trHeight w:val="225"/>
        </w:trPr>
        <w:tc>
          <w:tcPr>
            <w:tcW w:w="345" w:type="dxa"/>
            <w:vMerge/>
            <w:hideMark/>
          </w:tcPr>
          <w:p w14:paraId="2D468A5D"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0636EA81"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03CF0CBE"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wordt bekeken of de vastgelegde werkwijze nog van toepassing is.</w:t>
            </w:r>
          </w:p>
        </w:tc>
        <w:tc>
          <w:tcPr>
            <w:tcW w:w="1528" w:type="dxa"/>
            <w:vMerge/>
            <w:vAlign w:val="center"/>
            <w:hideMark/>
          </w:tcPr>
          <w:p w14:paraId="39287924"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60BC22AF"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0C6938C7" w14:textId="77777777" w:rsidTr="00DA6E19">
        <w:trPr>
          <w:trHeight w:val="450"/>
        </w:trPr>
        <w:tc>
          <w:tcPr>
            <w:tcW w:w="345" w:type="dxa"/>
            <w:vMerge/>
            <w:hideMark/>
          </w:tcPr>
          <w:p w14:paraId="7BFFAC88"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1A8AC88E"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593CBFD5"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(uiterlijk 1 mei) worden de indicatoren opgeleverd volgens instructies Zorginstituut (zie www.zorginzicht.nl) (aan openbare database ZiN en op de website van het VSV) [1] [2]</w:t>
            </w:r>
          </w:p>
        </w:tc>
        <w:tc>
          <w:tcPr>
            <w:tcW w:w="1528" w:type="dxa"/>
            <w:vMerge/>
            <w:vAlign w:val="center"/>
            <w:hideMark/>
          </w:tcPr>
          <w:p w14:paraId="0A983CD4"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0D623A74"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6AA5F642" w14:textId="77777777" w:rsidTr="00DA6E19">
        <w:trPr>
          <w:trHeight w:val="675"/>
        </w:trPr>
        <w:tc>
          <w:tcPr>
            <w:tcW w:w="345" w:type="dxa"/>
            <w:vMerge/>
            <w:hideMark/>
          </w:tcPr>
          <w:p w14:paraId="3BB3EC75"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008306E5"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3DAC301F"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Resultaten van de indicatoren uitkomsten worden jaarlijks besproken binnen VSV/IGO en gespiegeld met voorgaande jaren binnen het VSV/IGO. Zo nodig worden verbetertrajecten geformuleerd met SMART doelstellingen.</w:t>
            </w:r>
          </w:p>
        </w:tc>
        <w:tc>
          <w:tcPr>
            <w:tcW w:w="1528" w:type="dxa"/>
            <w:vMerge/>
            <w:vAlign w:val="center"/>
            <w:hideMark/>
          </w:tcPr>
          <w:p w14:paraId="11BEE032"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62AB8F51"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665B1B72" w14:textId="77777777" w:rsidTr="00DA6E19">
        <w:trPr>
          <w:trHeight w:val="450"/>
        </w:trPr>
        <w:tc>
          <w:tcPr>
            <w:tcW w:w="345" w:type="dxa"/>
            <w:vMerge/>
            <w:hideMark/>
          </w:tcPr>
          <w:p w14:paraId="7BE52807"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213D7D85"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4F051D39"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worden geformuleerde verbetertrajecten gemonitord, besproken en zo nodig bijgesteld.</w:t>
            </w:r>
          </w:p>
        </w:tc>
        <w:tc>
          <w:tcPr>
            <w:tcW w:w="1528" w:type="dxa"/>
            <w:vMerge/>
            <w:vAlign w:val="center"/>
            <w:hideMark/>
          </w:tcPr>
          <w:p w14:paraId="123EFF9B"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15E0A65E"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792C9ED2" w14:textId="77777777" w:rsidTr="00DA6E19">
        <w:trPr>
          <w:trHeight w:val="450"/>
        </w:trPr>
        <w:tc>
          <w:tcPr>
            <w:tcW w:w="345" w:type="dxa"/>
            <w:vMerge w:val="restart"/>
            <w:shd w:val="clear" w:color="auto" w:fill="auto"/>
            <w:hideMark/>
          </w:tcPr>
          <w:p w14:paraId="5038C033"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2C3251ED"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Clientervaringsonderzoek NPS (na afloop van elk zorgtraject)</w:t>
            </w:r>
          </w:p>
        </w:tc>
        <w:tc>
          <w:tcPr>
            <w:tcW w:w="7130" w:type="dxa"/>
            <w:shd w:val="clear" w:color="auto" w:fill="auto"/>
            <w:vAlign w:val="center"/>
            <w:hideMark/>
          </w:tcPr>
          <w:p w14:paraId="217DAC12"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Ervaringen van alle cliënten van het VSV/IGO worden bepaald met behulp van de Net Promotor Score (NPS)</w:t>
            </w:r>
          </w:p>
        </w:tc>
        <w:tc>
          <w:tcPr>
            <w:tcW w:w="1528" w:type="dxa"/>
            <w:vMerge w:val="restart"/>
            <w:shd w:val="clear" w:color="auto" w:fill="auto"/>
            <w:noWrap/>
            <w:vAlign w:val="center"/>
            <w:hideMark/>
          </w:tcPr>
          <w:p w14:paraId="6D3EE024"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c>
          <w:tcPr>
            <w:tcW w:w="822" w:type="dxa"/>
            <w:vMerge w:val="restart"/>
            <w:shd w:val="clear" w:color="auto" w:fill="auto"/>
            <w:noWrap/>
            <w:vAlign w:val="center"/>
            <w:hideMark/>
          </w:tcPr>
          <w:p w14:paraId="2029A85C"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1</w:t>
            </w:r>
          </w:p>
        </w:tc>
      </w:tr>
      <w:tr w:rsidR="00D56107" w:rsidRPr="00B156D0" w14:paraId="5AB09826" w14:textId="77777777" w:rsidTr="00DA6E19">
        <w:trPr>
          <w:trHeight w:val="675"/>
        </w:trPr>
        <w:tc>
          <w:tcPr>
            <w:tcW w:w="345" w:type="dxa"/>
            <w:vMerge/>
            <w:hideMark/>
          </w:tcPr>
          <w:p w14:paraId="3FD5D07B"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08ABD1A2"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4295EA40"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Door het VSV/IGO wordt beschreven hoe en wanneer cliëntervaringen geëvalueerd worden, hoe de resultaten verwerkt worden in de zorgverlening (protocollen, afspraken ed) en hoe en naar wie wordt gerapporteerd - Intern: VSV/IGO en cliëntenraad. Extern: ZiN en website.</w:t>
            </w:r>
          </w:p>
        </w:tc>
        <w:tc>
          <w:tcPr>
            <w:tcW w:w="1528" w:type="dxa"/>
            <w:vMerge/>
            <w:vAlign w:val="center"/>
            <w:hideMark/>
          </w:tcPr>
          <w:p w14:paraId="0C486E26"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51B65390"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4CC24F3B" w14:textId="77777777" w:rsidTr="00DA6E19">
        <w:trPr>
          <w:trHeight w:val="900"/>
        </w:trPr>
        <w:tc>
          <w:tcPr>
            <w:tcW w:w="345" w:type="dxa"/>
            <w:vMerge/>
            <w:hideMark/>
          </w:tcPr>
          <w:p w14:paraId="43C9C5AB"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2EB0FF1F"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57382579"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Tenminste elk half jaar worden resultaten van cliëntervaringsonderzoek besproken en zo nodig worden verbetertrajecten geformuleerd. Enerzijds op het niveau van de uitvraag en de verzameling van antwoorden (logistiek). Anderzijds op het niveau van het zorgaanbod (inhoudelijk).</w:t>
            </w:r>
          </w:p>
        </w:tc>
        <w:tc>
          <w:tcPr>
            <w:tcW w:w="1528" w:type="dxa"/>
            <w:vMerge/>
            <w:vAlign w:val="center"/>
            <w:hideMark/>
          </w:tcPr>
          <w:p w14:paraId="20026B4D"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17DB225F"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3B075CC4" w14:textId="77777777" w:rsidTr="00DA6E19">
        <w:trPr>
          <w:trHeight w:val="450"/>
        </w:trPr>
        <w:tc>
          <w:tcPr>
            <w:tcW w:w="345" w:type="dxa"/>
            <w:vMerge/>
            <w:hideMark/>
          </w:tcPr>
          <w:p w14:paraId="55667787"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570461DD"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5E2B43BC"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wordt gemonitord of eventuele verbetertrajecten op deze twee niveaus daadwerkelijk zijn uitgevoerd. Zo nodig wordt een en ander bijgesteld.</w:t>
            </w:r>
          </w:p>
        </w:tc>
        <w:tc>
          <w:tcPr>
            <w:tcW w:w="1528" w:type="dxa"/>
            <w:vMerge/>
            <w:vAlign w:val="center"/>
            <w:hideMark/>
          </w:tcPr>
          <w:p w14:paraId="3CD26514"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6E7C8BAD"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29F548EA" w14:textId="77777777" w:rsidTr="00DA6E19">
        <w:trPr>
          <w:trHeight w:val="675"/>
        </w:trPr>
        <w:tc>
          <w:tcPr>
            <w:tcW w:w="345" w:type="dxa"/>
            <w:vMerge w:val="restart"/>
            <w:shd w:val="clear" w:color="auto" w:fill="auto"/>
            <w:hideMark/>
          </w:tcPr>
          <w:p w14:paraId="247E9ADB"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28077A42"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Documentbeheer</w:t>
            </w:r>
          </w:p>
        </w:tc>
        <w:tc>
          <w:tcPr>
            <w:tcW w:w="7130" w:type="dxa"/>
            <w:shd w:val="clear" w:color="auto" w:fill="auto"/>
            <w:vAlign w:val="center"/>
            <w:hideMark/>
          </w:tcPr>
          <w:p w14:paraId="41EA0061"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Alle voor VSV/IGO relevante documenten (protocollen, werkafspraken, formulieren, handboeken, contracten, etc.) staan op een voor alle leden van VSV/IGO bereikbare plaats (fysiek dan wel digitaal).</w:t>
            </w:r>
          </w:p>
        </w:tc>
        <w:tc>
          <w:tcPr>
            <w:tcW w:w="1528" w:type="dxa"/>
            <w:vMerge w:val="restart"/>
            <w:shd w:val="clear" w:color="auto" w:fill="auto"/>
            <w:noWrap/>
            <w:vAlign w:val="center"/>
            <w:hideMark/>
          </w:tcPr>
          <w:p w14:paraId="491D713D"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c>
          <w:tcPr>
            <w:tcW w:w="822" w:type="dxa"/>
            <w:vMerge w:val="restart"/>
            <w:shd w:val="clear" w:color="auto" w:fill="auto"/>
            <w:noWrap/>
            <w:vAlign w:val="center"/>
            <w:hideMark/>
          </w:tcPr>
          <w:p w14:paraId="098E0F80"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r>
      <w:tr w:rsidR="00D56107" w:rsidRPr="00B156D0" w14:paraId="0FA8A769" w14:textId="77777777" w:rsidTr="00DA6E19">
        <w:trPr>
          <w:trHeight w:val="450"/>
        </w:trPr>
        <w:tc>
          <w:tcPr>
            <w:tcW w:w="345" w:type="dxa"/>
            <w:vMerge/>
            <w:hideMark/>
          </w:tcPr>
          <w:p w14:paraId="41FB0150"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556E3EC4"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016AC3D7"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Minimaal elke 2 jaar wordt van alle beschikbare documenten vastgesteld of deze bijgesteld of aangepast dienen te worden.</w:t>
            </w:r>
          </w:p>
        </w:tc>
        <w:tc>
          <w:tcPr>
            <w:tcW w:w="1528" w:type="dxa"/>
            <w:vMerge/>
            <w:vAlign w:val="center"/>
            <w:hideMark/>
          </w:tcPr>
          <w:p w14:paraId="77E7D263"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137F2484"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2DE89B91" w14:textId="77777777" w:rsidTr="00DA6E19">
        <w:trPr>
          <w:trHeight w:val="450"/>
        </w:trPr>
        <w:tc>
          <w:tcPr>
            <w:tcW w:w="345" w:type="dxa"/>
            <w:vMerge/>
            <w:hideMark/>
          </w:tcPr>
          <w:p w14:paraId="542B173F"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1427BD42"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539439A2"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wordt vastgesteld of VSV/IGO voldoet aan alle (nieuwe) wet- en regelgeving die aan een dergelijke organisatie wordt gesteld.</w:t>
            </w:r>
          </w:p>
        </w:tc>
        <w:tc>
          <w:tcPr>
            <w:tcW w:w="1528" w:type="dxa"/>
            <w:vMerge/>
            <w:vAlign w:val="center"/>
            <w:hideMark/>
          </w:tcPr>
          <w:p w14:paraId="7873DF94"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105527E8"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2ACD5E3C" w14:textId="77777777" w:rsidTr="00DA6E19">
        <w:trPr>
          <w:trHeight w:val="900"/>
        </w:trPr>
        <w:tc>
          <w:tcPr>
            <w:tcW w:w="345" w:type="dxa"/>
            <w:vMerge w:val="restart"/>
            <w:shd w:val="clear" w:color="auto" w:fill="auto"/>
            <w:hideMark/>
          </w:tcPr>
          <w:p w14:paraId="4FA4CA90"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7FFBDBB0"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Management van financiële middelen</w:t>
            </w:r>
          </w:p>
        </w:tc>
        <w:tc>
          <w:tcPr>
            <w:tcW w:w="7130" w:type="dxa"/>
            <w:shd w:val="clear" w:color="auto" w:fill="auto"/>
            <w:vAlign w:val="center"/>
            <w:hideMark/>
          </w:tcPr>
          <w:p w14:paraId="7C27E5EC"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Het VSV/ IGO streeft zoveel mogelijk doelmatige zorgverlening na, vanuit de gezamenlijke maatschappelijke verantwoordelijkheid. Hiervoor worden beleidsafspraken gemaakt in het meerjarenbeleidsplan (bv over mogelijkheden taakherschikking, differentiatie en substitutie). Jaarlijks wordt de doelmatigheid van de organisatie geëvalueerd en zo nodig bijgesteld.</w:t>
            </w:r>
          </w:p>
        </w:tc>
        <w:tc>
          <w:tcPr>
            <w:tcW w:w="1528" w:type="dxa"/>
            <w:vMerge w:val="restart"/>
            <w:shd w:val="clear" w:color="auto" w:fill="auto"/>
            <w:noWrap/>
            <w:vAlign w:val="center"/>
            <w:hideMark/>
          </w:tcPr>
          <w:p w14:paraId="21AC79A9"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c>
          <w:tcPr>
            <w:tcW w:w="822" w:type="dxa"/>
            <w:vMerge w:val="restart"/>
            <w:shd w:val="clear" w:color="auto" w:fill="auto"/>
            <w:noWrap/>
            <w:vAlign w:val="center"/>
            <w:hideMark/>
          </w:tcPr>
          <w:p w14:paraId="70C403A9"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r>
      <w:tr w:rsidR="00D56107" w:rsidRPr="00B156D0" w14:paraId="4A686D97" w14:textId="77777777" w:rsidTr="00DA6E19">
        <w:trPr>
          <w:trHeight w:val="675"/>
        </w:trPr>
        <w:tc>
          <w:tcPr>
            <w:tcW w:w="345" w:type="dxa"/>
            <w:vMerge/>
            <w:hideMark/>
          </w:tcPr>
          <w:p w14:paraId="23A4F6BF"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0A9AB3CA"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6BEFFAE9"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Elk kwartaal wordt inzichtelijk gemaakt hoe omgegaan is met de beschikbare middelen om de activiteiten van de organisatie zo effectief en efficiënt uit te kunnen voeren.  Zo nodig wordt beleid aangepast.</w:t>
            </w:r>
          </w:p>
        </w:tc>
        <w:tc>
          <w:tcPr>
            <w:tcW w:w="1528" w:type="dxa"/>
            <w:vMerge/>
            <w:vAlign w:val="center"/>
            <w:hideMark/>
          </w:tcPr>
          <w:p w14:paraId="7079B520"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08268FD4"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7E16EBDF" w14:textId="77777777" w:rsidTr="00DA6E19">
        <w:trPr>
          <w:trHeight w:val="450"/>
        </w:trPr>
        <w:tc>
          <w:tcPr>
            <w:tcW w:w="345" w:type="dxa"/>
            <w:vMerge/>
            <w:hideMark/>
          </w:tcPr>
          <w:p w14:paraId="23410ED4"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11E28DBF"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3B648ABD"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Elk kwartaal worden ‘productiecijfers’ (onder meer aantal bevallingen) gepresenteerd en gespiegeld aan de in het jaarplan geformuleerde prognose van bv het aantal bevallingen.</w:t>
            </w:r>
          </w:p>
        </w:tc>
        <w:tc>
          <w:tcPr>
            <w:tcW w:w="1528" w:type="dxa"/>
            <w:vMerge/>
            <w:vAlign w:val="center"/>
            <w:hideMark/>
          </w:tcPr>
          <w:p w14:paraId="1B2B50E6"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67CB5208"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649FDC74" w14:textId="77777777" w:rsidTr="00DA6E19">
        <w:trPr>
          <w:trHeight w:val="675"/>
        </w:trPr>
        <w:tc>
          <w:tcPr>
            <w:tcW w:w="345" w:type="dxa"/>
            <w:vMerge w:val="restart"/>
            <w:shd w:val="clear" w:color="auto" w:fill="auto"/>
            <w:hideMark/>
          </w:tcPr>
          <w:p w14:paraId="5063CA97"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1F5FD102"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Management kwaliteit zorgverleners</w:t>
            </w:r>
          </w:p>
        </w:tc>
        <w:tc>
          <w:tcPr>
            <w:tcW w:w="7130" w:type="dxa"/>
            <w:shd w:val="clear" w:color="auto" w:fill="auto"/>
            <w:vAlign w:val="center"/>
            <w:hideMark/>
          </w:tcPr>
          <w:p w14:paraId="39E1FE83"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Door het VSV/IGO wordt een organogram opgesteld aan de hand waarvan verantwoordelijkheden en bevoegdheden van alle zorgverleners die betrokken zijn bij het VSV/IGO beschreven worden.</w:t>
            </w:r>
          </w:p>
        </w:tc>
        <w:tc>
          <w:tcPr>
            <w:tcW w:w="1528" w:type="dxa"/>
            <w:vMerge w:val="restart"/>
            <w:shd w:val="clear" w:color="auto" w:fill="auto"/>
            <w:noWrap/>
            <w:vAlign w:val="center"/>
            <w:hideMark/>
          </w:tcPr>
          <w:p w14:paraId="2DEDB7B1"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c>
          <w:tcPr>
            <w:tcW w:w="822" w:type="dxa"/>
            <w:vMerge w:val="restart"/>
            <w:shd w:val="clear" w:color="auto" w:fill="auto"/>
            <w:noWrap/>
            <w:vAlign w:val="center"/>
            <w:hideMark/>
          </w:tcPr>
          <w:p w14:paraId="13ACBB73"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r>
      <w:tr w:rsidR="00D56107" w:rsidRPr="00B156D0" w14:paraId="1DD7890A" w14:textId="77777777" w:rsidTr="00DA6E19">
        <w:trPr>
          <w:trHeight w:val="450"/>
        </w:trPr>
        <w:tc>
          <w:tcPr>
            <w:tcW w:w="345" w:type="dxa"/>
            <w:vMerge/>
            <w:hideMark/>
          </w:tcPr>
          <w:p w14:paraId="63D93863"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1F551D89"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1F5AD601"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Bij voorkeur jaarlijks, maar minimaal elke twee jaar, wordt gereflecteerd op het organogram en verantwoordelijkheden en bevoegdheden. Zo nodig worden deze bijgesteld.</w:t>
            </w:r>
          </w:p>
        </w:tc>
        <w:tc>
          <w:tcPr>
            <w:tcW w:w="1528" w:type="dxa"/>
            <w:vMerge/>
            <w:vAlign w:val="center"/>
            <w:hideMark/>
          </w:tcPr>
          <w:p w14:paraId="7AD0B7E8"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342C2D6D"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32DCAC9F" w14:textId="77777777" w:rsidTr="00DA6E19">
        <w:trPr>
          <w:trHeight w:val="675"/>
        </w:trPr>
        <w:tc>
          <w:tcPr>
            <w:tcW w:w="345" w:type="dxa"/>
            <w:vMerge/>
            <w:hideMark/>
          </w:tcPr>
          <w:p w14:paraId="70B10152"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518CABF0"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1CACE77D"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Zorgverleners uit de verschillende disciplines van VSV/IGO maken hun bevoegd- en bekwaamheid inzichtelijk door het overhandigen van relevante documenten. Dit wordt minimaal elke 5 jaar herhaald.</w:t>
            </w:r>
          </w:p>
        </w:tc>
        <w:tc>
          <w:tcPr>
            <w:tcW w:w="1528" w:type="dxa"/>
            <w:vMerge/>
            <w:vAlign w:val="center"/>
            <w:hideMark/>
          </w:tcPr>
          <w:p w14:paraId="30395CF6"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23B005D6"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49C561A3" w14:textId="77777777" w:rsidTr="00DA6E19">
        <w:trPr>
          <w:trHeight w:val="675"/>
        </w:trPr>
        <w:tc>
          <w:tcPr>
            <w:tcW w:w="345" w:type="dxa"/>
            <w:vMerge/>
            <w:hideMark/>
          </w:tcPr>
          <w:p w14:paraId="56D72D59"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17F38427"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74219751"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 xml:space="preserve">Jaarlijks dient elke zorgverlener die betrokken is bij het VSV/IGO een overzicht in van de door hen gevolgde na- en bijscholingen.  In het meerjarenbeleidsplan wordt opgenomen welke nascholingen verplicht door de verschillende disciplines gevolgd dienen te worden.  </w:t>
            </w:r>
          </w:p>
        </w:tc>
        <w:tc>
          <w:tcPr>
            <w:tcW w:w="1528" w:type="dxa"/>
            <w:vMerge/>
            <w:vAlign w:val="center"/>
            <w:hideMark/>
          </w:tcPr>
          <w:p w14:paraId="47B705BF"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53644C06"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148A7753" w14:textId="77777777" w:rsidTr="00DA6E19">
        <w:trPr>
          <w:trHeight w:val="1125"/>
        </w:trPr>
        <w:tc>
          <w:tcPr>
            <w:tcW w:w="345" w:type="dxa"/>
            <w:vMerge/>
            <w:hideMark/>
          </w:tcPr>
          <w:p w14:paraId="343F93CA"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0615839A"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02666EE9"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Minimaal elke twee jaar wordt onder leden van de VSV/IGO de tevredenheid en ervaringen (of werkbeleving professionals) onderzocht[2]. Hierin worden ook ervaringen met de in het jaarplan opgenomen zorg- en organisatie gerelateerde doestellingen opgenomen. Op basis van de resultaten wordt zo nodig een verbetertraject geformuleerd. Jaarlijks wordt dit verbetertraject gemonitord en geëvalueerd.</w:t>
            </w:r>
          </w:p>
        </w:tc>
        <w:tc>
          <w:tcPr>
            <w:tcW w:w="1528" w:type="dxa"/>
            <w:vMerge/>
            <w:vAlign w:val="center"/>
            <w:hideMark/>
          </w:tcPr>
          <w:p w14:paraId="2EB98A75"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1F016B9F"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78979749" w14:textId="77777777" w:rsidTr="00DA6E19">
        <w:trPr>
          <w:trHeight w:val="675"/>
        </w:trPr>
        <w:tc>
          <w:tcPr>
            <w:tcW w:w="345" w:type="dxa"/>
            <w:vMerge w:val="restart"/>
            <w:shd w:val="clear" w:color="auto" w:fill="auto"/>
            <w:hideMark/>
          </w:tcPr>
          <w:p w14:paraId="1F106659"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53332AD7"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Accommodatie</w:t>
            </w:r>
          </w:p>
        </w:tc>
        <w:tc>
          <w:tcPr>
            <w:tcW w:w="7130" w:type="dxa"/>
            <w:shd w:val="clear" w:color="auto" w:fill="auto"/>
            <w:vAlign w:val="center"/>
            <w:hideMark/>
          </w:tcPr>
          <w:p w14:paraId="6CFF5105"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wordt inzichtelijk gemaakt voor leden van VSV/IGO hoe de accommodaties die gebruikt worden door de verschillende zorgverleners (bv. verloskamers, echokamer, verloskundige praktijken, etc) voldoen aan de wettelijke eisen zoals hieraan gesteld worden</w:t>
            </w:r>
          </w:p>
        </w:tc>
        <w:tc>
          <w:tcPr>
            <w:tcW w:w="1528" w:type="dxa"/>
            <w:vMerge w:val="restart"/>
            <w:shd w:val="clear" w:color="auto" w:fill="auto"/>
            <w:noWrap/>
            <w:vAlign w:val="center"/>
            <w:hideMark/>
          </w:tcPr>
          <w:p w14:paraId="19D421A2"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c>
          <w:tcPr>
            <w:tcW w:w="822" w:type="dxa"/>
            <w:vMerge w:val="restart"/>
            <w:shd w:val="clear" w:color="auto" w:fill="auto"/>
            <w:noWrap/>
            <w:vAlign w:val="center"/>
            <w:hideMark/>
          </w:tcPr>
          <w:p w14:paraId="7A1AFE38"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r>
      <w:tr w:rsidR="00D56107" w:rsidRPr="00B156D0" w14:paraId="5F88E567" w14:textId="77777777" w:rsidTr="00DA6E19">
        <w:trPr>
          <w:trHeight w:val="675"/>
        </w:trPr>
        <w:tc>
          <w:tcPr>
            <w:tcW w:w="345" w:type="dxa"/>
            <w:vMerge/>
            <w:hideMark/>
          </w:tcPr>
          <w:p w14:paraId="6A93CFEA"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439C42B6"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5CB81FE0"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Leden van VSV/IGO kunnen ten alle tijden wensen en klachten over de accommodaties kenbaar maken aan de hiervoor ingestelde werkgroep. Jaarlijks wordt inzichtelijk gemaakt hoe de werkgroep met de wensen en klachten is omgegaan.</w:t>
            </w:r>
          </w:p>
        </w:tc>
        <w:tc>
          <w:tcPr>
            <w:tcW w:w="1528" w:type="dxa"/>
            <w:vMerge/>
            <w:vAlign w:val="center"/>
            <w:hideMark/>
          </w:tcPr>
          <w:p w14:paraId="1EABB376"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3C107C9A"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7687A9DD" w14:textId="77777777" w:rsidTr="00DA6E19">
        <w:trPr>
          <w:trHeight w:val="1350"/>
        </w:trPr>
        <w:tc>
          <w:tcPr>
            <w:tcW w:w="345" w:type="dxa"/>
            <w:vMerge w:val="restart"/>
            <w:shd w:val="clear" w:color="auto" w:fill="auto"/>
            <w:hideMark/>
          </w:tcPr>
          <w:p w14:paraId="21D588DF"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17F08E6F"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Communicatie ("Zo communiceren wij")</w:t>
            </w:r>
          </w:p>
        </w:tc>
        <w:tc>
          <w:tcPr>
            <w:tcW w:w="7130" w:type="dxa"/>
            <w:shd w:val="clear" w:color="auto" w:fill="auto"/>
            <w:vAlign w:val="center"/>
            <w:hideMark/>
          </w:tcPr>
          <w:p w14:paraId="0294ED61"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Voor de interne en externe communicatie wordt een plan 'Zo communiceren wij' vastgesteld. Hierin wordt vastgelegd welke overleggen er in- en extern zijn, in welke vorm, door wie en met welk mandaat daaraan wordt deelgenomen. Het betreft regelmatige overleggen op het gebied van de zorg (bijvoorbeeld overdrachten) en de organisatie van zorg. In het plan is ook opgenomen hoe en door wie bij onderlinge conflicten/meningsverschillen wordt gehandeld.  Jaarlijks wordt dit plan geëvalueerd en bijgesteld.</w:t>
            </w:r>
          </w:p>
        </w:tc>
        <w:tc>
          <w:tcPr>
            <w:tcW w:w="1528" w:type="dxa"/>
            <w:vMerge w:val="restart"/>
            <w:shd w:val="clear" w:color="auto" w:fill="auto"/>
            <w:noWrap/>
            <w:vAlign w:val="center"/>
            <w:hideMark/>
          </w:tcPr>
          <w:p w14:paraId="2663466E"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c>
          <w:tcPr>
            <w:tcW w:w="822" w:type="dxa"/>
            <w:vMerge w:val="restart"/>
            <w:shd w:val="clear" w:color="auto" w:fill="auto"/>
            <w:noWrap/>
            <w:vAlign w:val="center"/>
            <w:hideMark/>
          </w:tcPr>
          <w:p w14:paraId="4991B989"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r>
      <w:tr w:rsidR="00D56107" w:rsidRPr="00B156D0" w14:paraId="0EF13C8C" w14:textId="77777777" w:rsidTr="00DA6E19">
        <w:trPr>
          <w:trHeight w:val="450"/>
        </w:trPr>
        <w:tc>
          <w:tcPr>
            <w:tcW w:w="345" w:type="dxa"/>
            <w:vMerge/>
            <w:hideMark/>
          </w:tcPr>
          <w:p w14:paraId="4D8C6F1B"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1F8F4756"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56B070A1"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 xml:space="preserve">Hieraan gekoppeld wordt een implementatieplan vastgesteld van alle onderdelen die nieuw worden geïmplementeerd. Jaarlijks wordt dit implementatieplan geëvalueerd. </w:t>
            </w:r>
          </w:p>
        </w:tc>
        <w:tc>
          <w:tcPr>
            <w:tcW w:w="1528" w:type="dxa"/>
            <w:vMerge/>
            <w:vAlign w:val="center"/>
            <w:hideMark/>
          </w:tcPr>
          <w:p w14:paraId="49DDA7C8"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577A6E95"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11073E21" w14:textId="77777777" w:rsidTr="00DA6E19">
        <w:trPr>
          <w:trHeight w:val="450"/>
        </w:trPr>
        <w:tc>
          <w:tcPr>
            <w:tcW w:w="345" w:type="dxa"/>
            <w:vMerge w:val="restart"/>
            <w:shd w:val="clear" w:color="auto" w:fill="auto"/>
            <w:hideMark/>
          </w:tcPr>
          <w:p w14:paraId="57AC8858"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10F78EBC"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Procedures ("Zo werken wij")</w:t>
            </w:r>
          </w:p>
        </w:tc>
        <w:tc>
          <w:tcPr>
            <w:tcW w:w="7130" w:type="dxa"/>
            <w:shd w:val="clear" w:color="auto" w:fill="auto"/>
            <w:vAlign w:val="center"/>
            <w:hideMark/>
          </w:tcPr>
          <w:p w14:paraId="042B71F5"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Van het VSV/IGO worden de aanwezige procedures beschreven en wordt vastgesteld in welke cyclus en hoe ze geëvalueerd dienen te worden (bijvoorbeeld elke 2 jaar).</w:t>
            </w:r>
          </w:p>
        </w:tc>
        <w:tc>
          <w:tcPr>
            <w:tcW w:w="1528" w:type="dxa"/>
            <w:vMerge w:val="restart"/>
            <w:shd w:val="clear" w:color="auto" w:fill="auto"/>
            <w:noWrap/>
            <w:vAlign w:val="center"/>
            <w:hideMark/>
          </w:tcPr>
          <w:p w14:paraId="11BF6533"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c>
          <w:tcPr>
            <w:tcW w:w="822" w:type="dxa"/>
            <w:vMerge w:val="restart"/>
            <w:shd w:val="clear" w:color="auto" w:fill="auto"/>
            <w:noWrap/>
            <w:vAlign w:val="center"/>
            <w:hideMark/>
          </w:tcPr>
          <w:p w14:paraId="769A1AE8"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r>
      <w:tr w:rsidR="00D56107" w:rsidRPr="00B156D0" w14:paraId="22E2ED05" w14:textId="77777777" w:rsidTr="00DA6E19">
        <w:trPr>
          <w:trHeight w:val="900"/>
        </w:trPr>
        <w:tc>
          <w:tcPr>
            <w:tcW w:w="345" w:type="dxa"/>
            <w:vMerge/>
            <w:hideMark/>
          </w:tcPr>
          <w:p w14:paraId="5DE7379A"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0A4CF0F5"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44C48A98"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wordt bekeken welke beschreven procedures bijgesteld dienen te worden en of nieuwe procedures opgesteld dienen te worden. Daarnaast wordt er een signaleringssysteem ingericht waardoor verkeerde/overbodige procedures bijtijds bijgesteld/vervangen kunnen worden.</w:t>
            </w:r>
          </w:p>
        </w:tc>
        <w:tc>
          <w:tcPr>
            <w:tcW w:w="1528" w:type="dxa"/>
            <w:vMerge/>
            <w:vAlign w:val="center"/>
            <w:hideMark/>
          </w:tcPr>
          <w:p w14:paraId="4305CDC6"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50B3F5A0"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34F8D62C" w14:textId="77777777" w:rsidTr="00DA6E19">
        <w:trPr>
          <w:trHeight w:val="450"/>
        </w:trPr>
        <w:tc>
          <w:tcPr>
            <w:tcW w:w="345" w:type="dxa"/>
            <w:vMerge/>
            <w:hideMark/>
          </w:tcPr>
          <w:p w14:paraId="76AB8FE3"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2EBBE4B6"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7941EDA9"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Binnen het VSV/IGO worden samenhangende activiteiten om de zorg te verlenen voor de cliënt (primaire processen) die binnen de organisatie plaatsvinden beschreven.</w:t>
            </w:r>
          </w:p>
        </w:tc>
        <w:tc>
          <w:tcPr>
            <w:tcW w:w="1528" w:type="dxa"/>
            <w:vMerge/>
            <w:vAlign w:val="center"/>
            <w:hideMark/>
          </w:tcPr>
          <w:p w14:paraId="71475A89"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59693A92"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5987ED5F" w14:textId="77777777" w:rsidTr="00DA6E19">
        <w:trPr>
          <w:trHeight w:val="450"/>
        </w:trPr>
        <w:tc>
          <w:tcPr>
            <w:tcW w:w="345" w:type="dxa"/>
            <w:vMerge/>
            <w:hideMark/>
          </w:tcPr>
          <w:p w14:paraId="493D1560"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4769D0FA"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4182DD23"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Elke 2 jaar wordt geëvalueerd of de beschrijving van de primaire processen up to date is. Zo nodig wordt deze bijgesteld.</w:t>
            </w:r>
          </w:p>
        </w:tc>
        <w:tc>
          <w:tcPr>
            <w:tcW w:w="1528" w:type="dxa"/>
            <w:vMerge/>
            <w:vAlign w:val="center"/>
            <w:hideMark/>
          </w:tcPr>
          <w:p w14:paraId="546A6B25"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119D45B5"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6E9FA8A1" w14:textId="77777777" w:rsidTr="00DA6E19">
        <w:trPr>
          <w:trHeight w:val="450"/>
        </w:trPr>
        <w:tc>
          <w:tcPr>
            <w:tcW w:w="345" w:type="dxa"/>
            <w:vMerge/>
            <w:hideMark/>
          </w:tcPr>
          <w:p w14:paraId="4EAA2D54"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7199C4DB"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3322017E"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wordt vastgesteld of het VSV/IGO voldoet aan alle (nieuwe) wet- en regelgeving die aan een organisatie die integrale geboortezorg levert wordt gesteld</w:t>
            </w:r>
          </w:p>
        </w:tc>
        <w:tc>
          <w:tcPr>
            <w:tcW w:w="1528" w:type="dxa"/>
            <w:vMerge/>
            <w:vAlign w:val="center"/>
            <w:hideMark/>
          </w:tcPr>
          <w:p w14:paraId="3AA00309"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27A135F4"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0DDD8198" w14:textId="77777777" w:rsidTr="00DA6E19">
        <w:trPr>
          <w:trHeight w:val="450"/>
        </w:trPr>
        <w:tc>
          <w:tcPr>
            <w:tcW w:w="345" w:type="dxa"/>
            <w:vMerge w:val="restart"/>
            <w:shd w:val="clear" w:color="auto" w:fill="auto"/>
            <w:hideMark/>
          </w:tcPr>
          <w:p w14:paraId="7E152444"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lastRenderedPageBreak/>
              <w:sym w:font="Symbol" w:char="F0A0"/>
            </w:r>
          </w:p>
        </w:tc>
        <w:tc>
          <w:tcPr>
            <w:tcW w:w="3395" w:type="dxa"/>
            <w:vMerge w:val="restart"/>
            <w:shd w:val="clear" w:color="auto" w:fill="auto"/>
            <w:vAlign w:val="center"/>
            <w:hideMark/>
          </w:tcPr>
          <w:p w14:paraId="0C1D479B"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Continue Verbetercyclus</w:t>
            </w:r>
          </w:p>
        </w:tc>
        <w:tc>
          <w:tcPr>
            <w:tcW w:w="7130" w:type="dxa"/>
            <w:shd w:val="clear" w:color="auto" w:fill="auto"/>
            <w:vAlign w:val="center"/>
            <w:hideMark/>
          </w:tcPr>
          <w:p w14:paraId="5A50C55F"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Binnen het VSV/IGO wordt beschreven hoe leden van VSV/IGO  bijdragen aan continue verbetering van de organisatie en de zorgverlening.</w:t>
            </w:r>
          </w:p>
        </w:tc>
        <w:tc>
          <w:tcPr>
            <w:tcW w:w="1528" w:type="dxa"/>
            <w:vMerge w:val="restart"/>
            <w:shd w:val="clear" w:color="auto" w:fill="auto"/>
            <w:noWrap/>
            <w:vAlign w:val="center"/>
            <w:hideMark/>
          </w:tcPr>
          <w:p w14:paraId="67B0B2F6"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c>
          <w:tcPr>
            <w:tcW w:w="822" w:type="dxa"/>
            <w:vMerge w:val="restart"/>
            <w:shd w:val="clear" w:color="auto" w:fill="auto"/>
            <w:noWrap/>
            <w:vAlign w:val="center"/>
            <w:hideMark/>
          </w:tcPr>
          <w:p w14:paraId="00CE8553"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r>
      <w:tr w:rsidR="00D56107" w:rsidRPr="00B156D0" w14:paraId="36756EC7" w14:textId="77777777" w:rsidTr="00DA6E19">
        <w:trPr>
          <w:trHeight w:val="450"/>
        </w:trPr>
        <w:tc>
          <w:tcPr>
            <w:tcW w:w="345" w:type="dxa"/>
            <w:vMerge/>
            <w:hideMark/>
          </w:tcPr>
          <w:p w14:paraId="05C15FCB"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668496DE"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079CB9FA"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wordt geëvalueerd welke verbetersuggesties er gedaan zijn en hoe ze zijn afgehandeld door een daartoe ingestelde commissie of werkgroep.</w:t>
            </w:r>
          </w:p>
        </w:tc>
        <w:tc>
          <w:tcPr>
            <w:tcW w:w="1528" w:type="dxa"/>
            <w:vMerge/>
            <w:vAlign w:val="center"/>
            <w:hideMark/>
          </w:tcPr>
          <w:p w14:paraId="2297563B"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22D3E7EF"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392935C2" w14:textId="77777777" w:rsidTr="00DA6E19">
        <w:trPr>
          <w:trHeight w:val="450"/>
        </w:trPr>
        <w:tc>
          <w:tcPr>
            <w:tcW w:w="345" w:type="dxa"/>
            <w:vMerge w:val="restart"/>
            <w:shd w:val="clear" w:color="auto" w:fill="auto"/>
            <w:hideMark/>
          </w:tcPr>
          <w:p w14:paraId="52278F8D"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52BAE418"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Samenwerkingsprocessen</w:t>
            </w:r>
          </w:p>
        </w:tc>
        <w:tc>
          <w:tcPr>
            <w:tcW w:w="7130" w:type="dxa"/>
            <w:shd w:val="clear" w:color="auto" w:fill="auto"/>
            <w:vAlign w:val="center"/>
            <w:hideMark/>
          </w:tcPr>
          <w:p w14:paraId="66CD5EAF"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Binnen het VSV/IGO worden de aanwezige overlegstructuren binnen en met (bijvoorbeeld CJG, sociale kaart) het VSV/IGO beschreven</w:t>
            </w:r>
          </w:p>
        </w:tc>
        <w:tc>
          <w:tcPr>
            <w:tcW w:w="1528" w:type="dxa"/>
            <w:vMerge w:val="restart"/>
            <w:shd w:val="clear" w:color="auto" w:fill="auto"/>
            <w:noWrap/>
            <w:vAlign w:val="center"/>
            <w:hideMark/>
          </w:tcPr>
          <w:p w14:paraId="6FB643FA"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c>
          <w:tcPr>
            <w:tcW w:w="822" w:type="dxa"/>
            <w:vMerge w:val="restart"/>
            <w:shd w:val="clear" w:color="auto" w:fill="auto"/>
            <w:noWrap/>
            <w:vAlign w:val="center"/>
            <w:hideMark/>
          </w:tcPr>
          <w:p w14:paraId="3E5AB6F2"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r>
      <w:tr w:rsidR="00D56107" w:rsidRPr="00B156D0" w14:paraId="257BF1F1" w14:textId="77777777" w:rsidTr="00DA6E19">
        <w:trPr>
          <w:trHeight w:val="900"/>
        </w:trPr>
        <w:tc>
          <w:tcPr>
            <w:tcW w:w="345" w:type="dxa"/>
            <w:vMerge/>
            <w:hideMark/>
          </w:tcPr>
          <w:p w14:paraId="7D003721"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0C4FDD29"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6EE41E39"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wordt geëvalueerd hoe de overlegstructuren[2] en de samenwerking tussen de verschillende disciplines binnen en met VSV/IGO verlopen en ervaren worden. Deze evaluatie vindt plaats via cliënten, zorgverleners en bestuurders. Zo nodig wordt na evaluatie een verbeterplan opgesteld.</w:t>
            </w:r>
          </w:p>
        </w:tc>
        <w:tc>
          <w:tcPr>
            <w:tcW w:w="1528" w:type="dxa"/>
            <w:vMerge/>
            <w:vAlign w:val="center"/>
            <w:hideMark/>
          </w:tcPr>
          <w:p w14:paraId="4068509E"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7CE9840D"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01AB6BCE" w14:textId="77777777" w:rsidTr="00DA6E19">
        <w:trPr>
          <w:trHeight w:val="675"/>
        </w:trPr>
        <w:tc>
          <w:tcPr>
            <w:tcW w:w="345" w:type="dxa"/>
            <w:vMerge/>
            <w:hideMark/>
          </w:tcPr>
          <w:p w14:paraId="1EFD70E9"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7BE1639F"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10B7C7D2"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In VSV/IGO wordt met elkaar op alle niveaus van de zorg en organisatie samengewerkt. Indien problemen in de samenwerking ontstaan, worden die zoveel mogelijk onderling opgelost. Indien dit onvoldoende resultaat heeft, kan een vertrouwenscommissie ingeschakeld worden.</w:t>
            </w:r>
          </w:p>
        </w:tc>
        <w:tc>
          <w:tcPr>
            <w:tcW w:w="1528" w:type="dxa"/>
            <w:vMerge/>
            <w:vAlign w:val="center"/>
            <w:hideMark/>
          </w:tcPr>
          <w:p w14:paraId="75797CE8"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50B9C445"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140DAD27" w14:textId="77777777" w:rsidTr="00DA6E19">
        <w:trPr>
          <w:trHeight w:val="450"/>
        </w:trPr>
        <w:tc>
          <w:tcPr>
            <w:tcW w:w="345" w:type="dxa"/>
            <w:vMerge/>
            <w:hideMark/>
          </w:tcPr>
          <w:p w14:paraId="28535E0F"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214C1CFA"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00005DCB"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wordt vastgesteld of er met nieuwe partners samenwerking gezocht zou moeten worden om de doelstellingen vanuit het beleidsplan te kunnen realiseren.</w:t>
            </w:r>
          </w:p>
        </w:tc>
        <w:tc>
          <w:tcPr>
            <w:tcW w:w="1528" w:type="dxa"/>
            <w:vMerge/>
            <w:vAlign w:val="center"/>
            <w:hideMark/>
          </w:tcPr>
          <w:p w14:paraId="291AE65A"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0803C79E"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3B283427" w14:textId="77777777" w:rsidTr="00DA6E19">
        <w:trPr>
          <w:trHeight w:val="450"/>
        </w:trPr>
        <w:tc>
          <w:tcPr>
            <w:tcW w:w="345" w:type="dxa"/>
            <w:vMerge w:val="restart"/>
            <w:shd w:val="clear" w:color="auto" w:fill="auto"/>
            <w:hideMark/>
          </w:tcPr>
          <w:p w14:paraId="6BB85FD9"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1B41E7E5"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Commissies onder het bestuur van het VSV/IGO</w:t>
            </w:r>
          </w:p>
        </w:tc>
        <w:tc>
          <w:tcPr>
            <w:tcW w:w="7130" w:type="dxa"/>
            <w:shd w:val="clear" w:color="auto" w:fill="auto"/>
            <w:vAlign w:val="center"/>
            <w:hideMark/>
          </w:tcPr>
          <w:p w14:paraId="4A69EA92"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In het jaarplan van VSV/IGO wordt vastgesteld welke commissies worden ingesteld met welke samenstelling en opdracht</w:t>
            </w:r>
          </w:p>
        </w:tc>
        <w:tc>
          <w:tcPr>
            <w:tcW w:w="1528" w:type="dxa"/>
            <w:vMerge w:val="restart"/>
            <w:shd w:val="clear" w:color="auto" w:fill="auto"/>
            <w:noWrap/>
            <w:vAlign w:val="center"/>
            <w:hideMark/>
          </w:tcPr>
          <w:p w14:paraId="5C58CD96"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c>
          <w:tcPr>
            <w:tcW w:w="822" w:type="dxa"/>
            <w:vMerge w:val="restart"/>
            <w:shd w:val="clear" w:color="auto" w:fill="auto"/>
            <w:noWrap/>
            <w:vAlign w:val="center"/>
            <w:hideMark/>
          </w:tcPr>
          <w:p w14:paraId="55D3D892"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r>
      <w:tr w:rsidR="00D56107" w:rsidRPr="00B156D0" w14:paraId="035C92EC" w14:textId="77777777" w:rsidTr="00DA6E19">
        <w:trPr>
          <w:trHeight w:val="450"/>
        </w:trPr>
        <w:tc>
          <w:tcPr>
            <w:tcW w:w="345" w:type="dxa"/>
            <w:vMerge/>
            <w:hideMark/>
          </w:tcPr>
          <w:p w14:paraId="10659137"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2380A4AD"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193A5572"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Per commissie worden SMART-doelstellingen geformuleerd, om de algemene doelstellingen zoals in het meerjarenbeleidsplan geformuleerd, te behalen.</w:t>
            </w:r>
          </w:p>
        </w:tc>
        <w:tc>
          <w:tcPr>
            <w:tcW w:w="1528" w:type="dxa"/>
            <w:vMerge/>
            <w:vAlign w:val="center"/>
            <w:hideMark/>
          </w:tcPr>
          <w:p w14:paraId="6DECACA9"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2BA8BCB7"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6BFFF3A3" w14:textId="77777777" w:rsidTr="00DA6E19">
        <w:trPr>
          <w:trHeight w:val="675"/>
        </w:trPr>
        <w:tc>
          <w:tcPr>
            <w:tcW w:w="345" w:type="dxa"/>
            <w:vMerge/>
            <w:hideMark/>
          </w:tcPr>
          <w:p w14:paraId="117D246E"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08EB4863"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4544A8D3"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Elk half jaar rapporteren de commissies in hoeverre de geformuleerde doelstellingen behaald zijn en wordt besproken hoe de resultaten worden gebruikt in de organisatie en en/of de zorgverlening.</w:t>
            </w:r>
          </w:p>
        </w:tc>
        <w:tc>
          <w:tcPr>
            <w:tcW w:w="1528" w:type="dxa"/>
            <w:vMerge/>
            <w:vAlign w:val="center"/>
            <w:hideMark/>
          </w:tcPr>
          <w:p w14:paraId="760D7C98"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7E71BA2B"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5112D0C3" w14:textId="77777777" w:rsidTr="00DA6E19">
        <w:trPr>
          <w:trHeight w:val="675"/>
        </w:trPr>
        <w:tc>
          <w:tcPr>
            <w:tcW w:w="345" w:type="dxa"/>
            <w:vMerge w:val="restart"/>
            <w:shd w:val="clear" w:color="auto" w:fill="auto"/>
            <w:hideMark/>
          </w:tcPr>
          <w:p w14:paraId="5532A355"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12B0DC1B"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Taakherschikking over de gehele keten</w:t>
            </w:r>
          </w:p>
        </w:tc>
        <w:tc>
          <w:tcPr>
            <w:tcW w:w="7130" w:type="dxa"/>
            <w:shd w:val="clear" w:color="auto" w:fill="auto"/>
            <w:vAlign w:val="center"/>
            <w:hideMark/>
          </w:tcPr>
          <w:p w14:paraId="25F8C4B0"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In het meerjarenbeleidsplan van de VSV/IGO worden taakherschikkingsmogelijkheden en doelstellingen geformuleerd, en uitgewerkt in lijn met de geformuleerde Missie/Visie van het VSV/IGO.</w:t>
            </w:r>
          </w:p>
        </w:tc>
        <w:tc>
          <w:tcPr>
            <w:tcW w:w="1528" w:type="dxa"/>
            <w:vMerge w:val="restart"/>
            <w:shd w:val="clear" w:color="auto" w:fill="auto"/>
            <w:noWrap/>
            <w:vAlign w:val="center"/>
            <w:hideMark/>
          </w:tcPr>
          <w:p w14:paraId="539E5559"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c>
          <w:tcPr>
            <w:tcW w:w="822" w:type="dxa"/>
            <w:vMerge w:val="restart"/>
            <w:shd w:val="clear" w:color="auto" w:fill="auto"/>
            <w:noWrap/>
            <w:vAlign w:val="center"/>
            <w:hideMark/>
          </w:tcPr>
          <w:p w14:paraId="7C3D271F"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r>
      <w:tr w:rsidR="00D56107" w:rsidRPr="00B156D0" w14:paraId="24DFA13B" w14:textId="77777777" w:rsidTr="00DA6E19">
        <w:trPr>
          <w:trHeight w:val="450"/>
        </w:trPr>
        <w:tc>
          <w:tcPr>
            <w:tcW w:w="345" w:type="dxa"/>
            <w:vMerge/>
            <w:hideMark/>
          </w:tcPr>
          <w:p w14:paraId="59DFB675"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76679CBD"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7FF4F09F"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wordt vastgesteld hoe de taakherschikkingsdoelstellingen uit het meerjarenbeleidsplan gerealiseerd gaan worden.</w:t>
            </w:r>
          </w:p>
        </w:tc>
        <w:tc>
          <w:tcPr>
            <w:tcW w:w="1528" w:type="dxa"/>
            <w:vMerge/>
            <w:vAlign w:val="center"/>
            <w:hideMark/>
          </w:tcPr>
          <w:p w14:paraId="72C00E9A"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4CFD1A1D"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2FB08F22" w14:textId="77777777" w:rsidTr="00DA6E19">
        <w:trPr>
          <w:trHeight w:val="450"/>
        </w:trPr>
        <w:tc>
          <w:tcPr>
            <w:tcW w:w="345" w:type="dxa"/>
            <w:vMerge/>
            <w:hideMark/>
          </w:tcPr>
          <w:p w14:paraId="32390DFB"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51DA1CD7"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379148F6"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wordt geëvalueerd of de voorgenomen doelstellingen gerealiseerd zijn. Zo nodig wordt een verbeterplan opgesteld.</w:t>
            </w:r>
          </w:p>
        </w:tc>
        <w:tc>
          <w:tcPr>
            <w:tcW w:w="1528" w:type="dxa"/>
            <w:vMerge/>
            <w:vAlign w:val="center"/>
            <w:hideMark/>
          </w:tcPr>
          <w:p w14:paraId="5BA8CB93"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7596A7CE"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6D53F0A1" w14:textId="77777777" w:rsidTr="00DA6E19">
        <w:trPr>
          <w:trHeight w:val="675"/>
        </w:trPr>
        <w:tc>
          <w:tcPr>
            <w:tcW w:w="345" w:type="dxa"/>
            <w:vMerge w:val="restart"/>
            <w:shd w:val="clear" w:color="auto" w:fill="auto"/>
            <w:hideMark/>
          </w:tcPr>
          <w:p w14:paraId="236FEA96"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1787512A"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Integrale voorlichting</w:t>
            </w:r>
          </w:p>
        </w:tc>
        <w:tc>
          <w:tcPr>
            <w:tcW w:w="7130" w:type="dxa"/>
            <w:shd w:val="clear" w:color="auto" w:fill="auto"/>
            <w:vAlign w:val="center"/>
            <w:hideMark/>
          </w:tcPr>
          <w:p w14:paraId="3D41757A"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Het VSV/IGO zorg ervoor dat een set voorlichtingsmateriaal beschikbaar is die door alle deelnemers van VSV/IGO wordt gedragen en gebruikt – ‘VSV/IGO spreekt naar cliënten met één mond’. Bij voorkeur is deze set (ook) online beschikbaar.</w:t>
            </w:r>
          </w:p>
        </w:tc>
        <w:tc>
          <w:tcPr>
            <w:tcW w:w="1528" w:type="dxa"/>
            <w:vMerge w:val="restart"/>
            <w:shd w:val="clear" w:color="auto" w:fill="auto"/>
            <w:noWrap/>
            <w:vAlign w:val="center"/>
            <w:hideMark/>
          </w:tcPr>
          <w:p w14:paraId="13448C29"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c>
          <w:tcPr>
            <w:tcW w:w="822" w:type="dxa"/>
            <w:vMerge w:val="restart"/>
            <w:shd w:val="clear" w:color="auto" w:fill="auto"/>
            <w:noWrap/>
            <w:vAlign w:val="center"/>
            <w:hideMark/>
          </w:tcPr>
          <w:p w14:paraId="47C1B545"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p>
        </w:tc>
      </w:tr>
      <w:tr w:rsidR="00D56107" w:rsidRPr="00B156D0" w14:paraId="755A3CA4" w14:textId="77777777" w:rsidTr="00DA6E19">
        <w:trPr>
          <w:trHeight w:val="900"/>
        </w:trPr>
        <w:tc>
          <w:tcPr>
            <w:tcW w:w="345" w:type="dxa"/>
            <w:vMerge/>
            <w:hideMark/>
          </w:tcPr>
          <w:p w14:paraId="48434527"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57C0BBF6"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17F7C18F"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Elke 2 jaar wordt met de cliënten geëvalueerd of het beschikbare voorlichtingsmateriaal nog relevant is en aan de verwachtingen voldoet. Zo nodig wordt het materiaal aangepast. Indien er tussentijds wijzigingen worden ingevoerd door VSV/IGO, VWS of andere belangrijke stakeholders, dan worden deze direct verwerkt in het voorlichtingsmateriaal.</w:t>
            </w:r>
          </w:p>
        </w:tc>
        <w:tc>
          <w:tcPr>
            <w:tcW w:w="1528" w:type="dxa"/>
            <w:vMerge/>
            <w:vAlign w:val="center"/>
            <w:hideMark/>
          </w:tcPr>
          <w:p w14:paraId="16C941BA"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41EB2794"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26237E15" w14:textId="77777777" w:rsidTr="00DA6E19">
        <w:trPr>
          <w:trHeight w:val="450"/>
        </w:trPr>
        <w:tc>
          <w:tcPr>
            <w:tcW w:w="345" w:type="dxa"/>
            <w:vMerge w:val="restart"/>
            <w:shd w:val="clear" w:color="auto" w:fill="auto"/>
            <w:hideMark/>
          </w:tcPr>
          <w:p w14:paraId="21D564A7"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lastRenderedPageBreak/>
              <w:sym w:font="Symbol" w:char="F0A0"/>
            </w:r>
          </w:p>
        </w:tc>
        <w:tc>
          <w:tcPr>
            <w:tcW w:w="3395" w:type="dxa"/>
            <w:vMerge w:val="restart"/>
            <w:shd w:val="clear" w:color="auto" w:fill="auto"/>
            <w:vAlign w:val="center"/>
            <w:hideMark/>
          </w:tcPr>
          <w:p w14:paraId="128324ED"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Registratie cliëntgegevens</w:t>
            </w:r>
          </w:p>
        </w:tc>
        <w:tc>
          <w:tcPr>
            <w:tcW w:w="7130" w:type="dxa"/>
            <w:shd w:val="clear" w:color="auto" w:fill="auto"/>
            <w:vAlign w:val="center"/>
            <w:hideMark/>
          </w:tcPr>
          <w:p w14:paraId="4C2C4BCC"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Binnen het VSV/IGO wordt beschreven hoe cliëntgegevens uniform worden geregistreerd en opgeslagen</w:t>
            </w:r>
          </w:p>
        </w:tc>
        <w:tc>
          <w:tcPr>
            <w:tcW w:w="1528" w:type="dxa"/>
            <w:vMerge w:val="restart"/>
            <w:shd w:val="clear" w:color="auto" w:fill="auto"/>
            <w:noWrap/>
            <w:vAlign w:val="center"/>
            <w:hideMark/>
          </w:tcPr>
          <w:p w14:paraId="5A64B7AF"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c>
          <w:tcPr>
            <w:tcW w:w="822" w:type="dxa"/>
            <w:vMerge w:val="restart"/>
            <w:shd w:val="clear" w:color="auto" w:fill="auto"/>
            <w:noWrap/>
            <w:vAlign w:val="center"/>
            <w:hideMark/>
          </w:tcPr>
          <w:p w14:paraId="64E7A7F6"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r>
      <w:tr w:rsidR="00D56107" w:rsidRPr="00B156D0" w14:paraId="40C5C8D3" w14:textId="77777777" w:rsidTr="00DA6E19">
        <w:trPr>
          <w:trHeight w:val="225"/>
        </w:trPr>
        <w:tc>
          <w:tcPr>
            <w:tcW w:w="345" w:type="dxa"/>
            <w:vMerge/>
            <w:hideMark/>
          </w:tcPr>
          <w:p w14:paraId="3AA8ACD1"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73FAA8D0"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722B1A10"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Binnen het VSV/IGO wordt beschreven hoe cliëntgegevens beveiligd zijn</w:t>
            </w:r>
          </w:p>
        </w:tc>
        <w:tc>
          <w:tcPr>
            <w:tcW w:w="1528" w:type="dxa"/>
            <w:vMerge/>
            <w:vAlign w:val="center"/>
            <w:hideMark/>
          </w:tcPr>
          <w:p w14:paraId="7A93C43B"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11DC0558"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0250C199" w14:textId="77777777" w:rsidTr="00DA6E19">
        <w:trPr>
          <w:trHeight w:val="225"/>
        </w:trPr>
        <w:tc>
          <w:tcPr>
            <w:tcW w:w="345" w:type="dxa"/>
            <w:vMerge/>
            <w:hideMark/>
          </w:tcPr>
          <w:p w14:paraId="7EB627E8"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2D25E6A5"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220E090E"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Binnen het VSV/IGO wordt beschreven hoe privacy van cliënten gewaarborgd is wordt</w:t>
            </w:r>
          </w:p>
        </w:tc>
        <w:tc>
          <w:tcPr>
            <w:tcW w:w="1528" w:type="dxa"/>
            <w:vMerge/>
            <w:vAlign w:val="center"/>
            <w:hideMark/>
          </w:tcPr>
          <w:p w14:paraId="0F7E3202"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77513AFC"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53F302B6" w14:textId="77777777" w:rsidTr="00DA6E19">
        <w:trPr>
          <w:trHeight w:val="450"/>
        </w:trPr>
        <w:tc>
          <w:tcPr>
            <w:tcW w:w="345" w:type="dxa"/>
            <w:vMerge/>
            <w:hideMark/>
          </w:tcPr>
          <w:p w14:paraId="6F1FBB5C"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2F639BC8"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1B5C0CAB"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wordt gemonitord of de beschreven procedures voldoende uniform en veilig zijn en of de privacy voldoende gewaarborgd is. Zo nodig worden procedures aangepast.</w:t>
            </w:r>
          </w:p>
        </w:tc>
        <w:tc>
          <w:tcPr>
            <w:tcW w:w="1528" w:type="dxa"/>
            <w:vMerge/>
            <w:vAlign w:val="center"/>
            <w:hideMark/>
          </w:tcPr>
          <w:p w14:paraId="355EBAC3"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0E2F9EFD"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24030B87" w14:textId="77777777" w:rsidTr="00DA6E19">
        <w:trPr>
          <w:trHeight w:val="450"/>
        </w:trPr>
        <w:tc>
          <w:tcPr>
            <w:tcW w:w="345" w:type="dxa"/>
            <w:vMerge w:val="restart"/>
            <w:shd w:val="clear" w:color="auto" w:fill="auto"/>
            <w:hideMark/>
          </w:tcPr>
          <w:p w14:paraId="2CBBDFCD"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3E859397"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Cliëntgerichte activiteiten</w:t>
            </w:r>
          </w:p>
        </w:tc>
        <w:tc>
          <w:tcPr>
            <w:tcW w:w="7130" w:type="dxa"/>
            <w:shd w:val="clear" w:color="auto" w:fill="auto"/>
            <w:vAlign w:val="center"/>
            <w:hideMark/>
          </w:tcPr>
          <w:p w14:paraId="257BD2B6"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Binnen het VSV/IGO worden alle cliëntgerichte activiteiten beschreven (inclusief cliëntparticipatie).</w:t>
            </w:r>
          </w:p>
        </w:tc>
        <w:tc>
          <w:tcPr>
            <w:tcW w:w="1528" w:type="dxa"/>
            <w:vMerge w:val="restart"/>
            <w:shd w:val="clear" w:color="auto" w:fill="auto"/>
            <w:noWrap/>
            <w:vAlign w:val="center"/>
            <w:hideMark/>
          </w:tcPr>
          <w:p w14:paraId="1A4F5534"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c>
          <w:tcPr>
            <w:tcW w:w="822" w:type="dxa"/>
            <w:vMerge w:val="restart"/>
            <w:shd w:val="clear" w:color="auto" w:fill="auto"/>
            <w:noWrap/>
            <w:vAlign w:val="center"/>
            <w:hideMark/>
          </w:tcPr>
          <w:p w14:paraId="7084717F"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r>
      <w:tr w:rsidR="00D56107" w:rsidRPr="00B156D0" w14:paraId="200B7983" w14:textId="77777777" w:rsidTr="00DA6E19">
        <w:trPr>
          <w:trHeight w:val="450"/>
        </w:trPr>
        <w:tc>
          <w:tcPr>
            <w:tcW w:w="345" w:type="dxa"/>
            <w:vMerge/>
            <w:hideMark/>
          </w:tcPr>
          <w:p w14:paraId="23DDED39"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13E25982"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6D9093BC"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In het meerjarenbeleidsplan wordt beschreven welke cliëntgerichte activiteiten opgepakt dienen te worden</w:t>
            </w:r>
          </w:p>
        </w:tc>
        <w:tc>
          <w:tcPr>
            <w:tcW w:w="1528" w:type="dxa"/>
            <w:vMerge/>
            <w:vAlign w:val="center"/>
            <w:hideMark/>
          </w:tcPr>
          <w:p w14:paraId="5E808663"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03B05DCF"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795A714D" w14:textId="77777777" w:rsidTr="00DA6E19">
        <w:trPr>
          <w:trHeight w:val="225"/>
        </w:trPr>
        <w:tc>
          <w:tcPr>
            <w:tcW w:w="345" w:type="dxa"/>
            <w:vMerge/>
            <w:hideMark/>
          </w:tcPr>
          <w:p w14:paraId="7341499D"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2AB200A0"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09CEC5E2"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wordt vastgesteld hoe nieuwe cliëntgerichte activiteiten gerealiseerd gaan worden</w:t>
            </w:r>
          </w:p>
        </w:tc>
        <w:tc>
          <w:tcPr>
            <w:tcW w:w="1528" w:type="dxa"/>
            <w:vMerge/>
            <w:vAlign w:val="center"/>
            <w:hideMark/>
          </w:tcPr>
          <w:p w14:paraId="5C8A14B7"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3849915D"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6796FE0D" w14:textId="77777777" w:rsidTr="00DA6E19">
        <w:trPr>
          <w:trHeight w:val="450"/>
        </w:trPr>
        <w:tc>
          <w:tcPr>
            <w:tcW w:w="345" w:type="dxa"/>
            <w:vMerge/>
            <w:hideMark/>
          </w:tcPr>
          <w:p w14:paraId="1DB992FB"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73487255"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3D572E33"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wordt geëvalueerd of de cliëntgerichte doelstellingen gerealiseerd zijn. Zo nodig wordt een verbeterplan opgesteld.</w:t>
            </w:r>
          </w:p>
        </w:tc>
        <w:tc>
          <w:tcPr>
            <w:tcW w:w="1528" w:type="dxa"/>
            <w:vMerge/>
            <w:vAlign w:val="center"/>
            <w:hideMark/>
          </w:tcPr>
          <w:p w14:paraId="5494362A"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54EEC8B7"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675F629E" w14:textId="77777777" w:rsidTr="00DA6E19">
        <w:trPr>
          <w:trHeight w:val="450"/>
        </w:trPr>
        <w:tc>
          <w:tcPr>
            <w:tcW w:w="345" w:type="dxa"/>
            <w:vMerge w:val="restart"/>
            <w:shd w:val="clear" w:color="auto" w:fill="auto"/>
            <w:hideMark/>
          </w:tcPr>
          <w:p w14:paraId="269D364E"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7839124B"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Klachtenprocedure cliënten (Bestaand Wettelijk protocol)</w:t>
            </w:r>
          </w:p>
        </w:tc>
        <w:tc>
          <w:tcPr>
            <w:tcW w:w="7130" w:type="dxa"/>
            <w:shd w:val="clear" w:color="auto" w:fill="auto"/>
            <w:vAlign w:val="center"/>
            <w:hideMark/>
          </w:tcPr>
          <w:p w14:paraId="407FBDC8"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Bij het VSV/IGO wordt beschreven:</w:t>
            </w:r>
          </w:p>
        </w:tc>
        <w:tc>
          <w:tcPr>
            <w:tcW w:w="1528" w:type="dxa"/>
            <w:vMerge w:val="restart"/>
            <w:shd w:val="clear" w:color="auto" w:fill="auto"/>
            <w:noWrap/>
            <w:vAlign w:val="center"/>
            <w:hideMark/>
          </w:tcPr>
          <w:p w14:paraId="7FA08947"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c>
          <w:tcPr>
            <w:tcW w:w="822" w:type="dxa"/>
            <w:vMerge w:val="restart"/>
            <w:shd w:val="clear" w:color="auto" w:fill="auto"/>
            <w:noWrap/>
            <w:vAlign w:val="center"/>
            <w:hideMark/>
          </w:tcPr>
          <w:p w14:paraId="4CBF7103"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r>
      <w:tr w:rsidR="00D56107" w:rsidRPr="00B156D0" w14:paraId="63414267" w14:textId="77777777" w:rsidTr="00DA6E19">
        <w:trPr>
          <w:trHeight w:val="225"/>
        </w:trPr>
        <w:tc>
          <w:tcPr>
            <w:tcW w:w="345" w:type="dxa"/>
            <w:vMerge/>
            <w:hideMark/>
          </w:tcPr>
          <w:p w14:paraId="51574221"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1B90DA0F"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1F0A44C6"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Hoe cliënten geïnformeerd worden over de klachtenprocedure binnen het VSV/IGO</w:t>
            </w:r>
          </w:p>
        </w:tc>
        <w:tc>
          <w:tcPr>
            <w:tcW w:w="1528" w:type="dxa"/>
            <w:vMerge/>
            <w:vAlign w:val="center"/>
            <w:hideMark/>
          </w:tcPr>
          <w:p w14:paraId="67FD12CE"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72C74F7C"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393ACD5B" w14:textId="77777777" w:rsidTr="00DA6E19">
        <w:trPr>
          <w:trHeight w:val="450"/>
        </w:trPr>
        <w:tc>
          <w:tcPr>
            <w:tcW w:w="345" w:type="dxa"/>
            <w:vMerge/>
            <w:hideMark/>
          </w:tcPr>
          <w:p w14:paraId="599D5B15"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04BC2387"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40AB9EED"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Hoe en bij wie klachten binnen het VSV/IGO terecht komen en hoe deze afgehandeld en geregistreerd worden</w:t>
            </w:r>
          </w:p>
        </w:tc>
        <w:tc>
          <w:tcPr>
            <w:tcW w:w="1528" w:type="dxa"/>
            <w:vMerge/>
            <w:vAlign w:val="center"/>
            <w:hideMark/>
          </w:tcPr>
          <w:p w14:paraId="12FCBC5F"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04D34CED"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361DD4C8" w14:textId="77777777" w:rsidTr="00DA6E19">
        <w:trPr>
          <w:trHeight w:val="225"/>
        </w:trPr>
        <w:tc>
          <w:tcPr>
            <w:tcW w:w="345" w:type="dxa"/>
            <w:vMerge/>
            <w:hideMark/>
          </w:tcPr>
          <w:p w14:paraId="1FE4EACF"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2C10DD5E"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1E0934A5"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Hoe de klachten en afhandeling gemonitord worden.</w:t>
            </w:r>
          </w:p>
        </w:tc>
        <w:tc>
          <w:tcPr>
            <w:tcW w:w="1528" w:type="dxa"/>
            <w:vMerge/>
            <w:vAlign w:val="center"/>
            <w:hideMark/>
          </w:tcPr>
          <w:p w14:paraId="62355B15"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33F416DC"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384DCC61" w14:textId="77777777" w:rsidTr="00DA6E19">
        <w:trPr>
          <w:trHeight w:val="675"/>
        </w:trPr>
        <w:tc>
          <w:tcPr>
            <w:tcW w:w="345" w:type="dxa"/>
            <w:vMerge/>
            <w:hideMark/>
          </w:tcPr>
          <w:p w14:paraId="3178D4D9"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038A5AA8"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6DC49FFE"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Elk kwartaal wordt door de Klachtencommissie gerapporteerd over de ingediende klachten en hoe deze zijn afgehandeld. Tevens wordt beschreven of er trends zichtbaar zijn, en zo ja hoe werkprocessen eventueel zijn aangepast op basis van ingediende klachten.</w:t>
            </w:r>
          </w:p>
        </w:tc>
        <w:tc>
          <w:tcPr>
            <w:tcW w:w="1528" w:type="dxa"/>
            <w:vMerge/>
            <w:vAlign w:val="center"/>
            <w:hideMark/>
          </w:tcPr>
          <w:p w14:paraId="2B3ABF9F"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07D6036B"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69D82DA5" w14:textId="77777777" w:rsidTr="00DA6E19">
        <w:trPr>
          <w:trHeight w:val="315"/>
        </w:trPr>
        <w:tc>
          <w:tcPr>
            <w:tcW w:w="345" w:type="dxa"/>
            <w:vMerge w:val="restart"/>
            <w:shd w:val="clear" w:color="auto" w:fill="auto"/>
            <w:hideMark/>
          </w:tcPr>
          <w:p w14:paraId="1BA67B09"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5CCABAEB"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Patiëntveiligheid</w:t>
            </w:r>
          </w:p>
        </w:tc>
        <w:tc>
          <w:tcPr>
            <w:tcW w:w="7130" w:type="dxa"/>
            <w:shd w:val="clear" w:color="auto" w:fill="auto"/>
            <w:vAlign w:val="center"/>
            <w:hideMark/>
          </w:tcPr>
          <w:p w14:paraId="6871C17B"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Het VSV/IGO zorgt ervoor dat haar zorgverlening optimaal veilig is voor alle cliënten</w:t>
            </w:r>
          </w:p>
        </w:tc>
        <w:tc>
          <w:tcPr>
            <w:tcW w:w="1528" w:type="dxa"/>
            <w:vMerge w:val="restart"/>
            <w:shd w:val="clear" w:color="auto" w:fill="auto"/>
            <w:noWrap/>
            <w:vAlign w:val="center"/>
            <w:hideMark/>
          </w:tcPr>
          <w:p w14:paraId="6F186C0A"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c>
          <w:tcPr>
            <w:tcW w:w="822" w:type="dxa"/>
            <w:vMerge w:val="restart"/>
            <w:shd w:val="clear" w:color="auto" w:fill="auto"/>
            <w:noWrap/>
            <w:vAlign w:val="center"/>
            <w:hideMark/>
          </w:tcPr>
          <w:p w14:paraId="16F5AC1A"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r>
      <w:tr w:rsidR="00D56107" w:rsidRPr="00B156D0" w14:paraId="2A488644" w14:textId="77777777" w:rsidTr="00DA6E19">
        <w:trPr>
          <w:trHeight w:val="450"/>
        </w:trPr>
        <w:tc>
          <w:tcPr>
            <w:tcW w:w="345" w:type="dxa"/>
            <w:vMerge/>
            <w:hideMark/>
          </w:tcPr>
          <w:p w14:paraId="255C08BB"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56C7B617"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46A1671F"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Bij het VSV/IGO wordt beschreven welke risico’s er op het gebied van patiëntveiligheid zijn en welke beheersmaatregelen er zijn om deze risico’s tot een minimum te beperken.</w:t>
            </w:r>
          </w:p>
        </w:tc>
        <w:tc>
          <w:tcPr>
            <w:tcW w:w="1528" w:type="dxa"/>
            <w:vMerge/>
            <w:vAlign w:val="center"/>
            <w:hideMark/>
          </w:tcPr>
          <w:p w14:paraId="38FDF724"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01FEE29E"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0E5165E2" w14:textId="77777777" w:rsidTr="00DA6E19">
        <w:trPr>
          <w:trHeight w:val="450"/>
        </w:trPr>
        <w:tc>
          <w:tcPr>
            <w:tcW w:w="345" w:type="dxa"/>
            <w:vMerge/>
            <w:hideMark/>
          </w:tcPr>
          <w:p w14:paraId="3B53A164"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12635D23"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08F8B919"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Binnen het VSV/IGO wordt beschreven hoe (bijna) incidenten gemeld worden en hoe deze opgepakt en geregistreerd worden.</w:t>
            </w:r>
          </w:p>
        </w:tc>
        <w:tc>
          <w:tcPr>
            <w:tcW w:w="1528" w:type="dxa"/>
            <w:vMerge/>
            <w:vAlign w:val="center"/>
            <w:hideMark/>
          </w:tcPr>
          <w:p w14:paraId="48E19C18"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122E1E69"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2B87764B" w14:textId="77777777" w:rsidTr="00DA6E19">
        <w:trPr>
          <w:trHeight w:val="450"/>
        </w:trPr>
        <w:tc>
          <w:tcPr>
            <w:tcW w:w="345" w:type="dxa"/>
            <w:vMerge/>
            <w:hideMark/>
          </w:tcPr>
          <w:p w14:paraId="63BE4A5E"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1637EBFE"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7A651BB4"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Elk kwartaal worden geregistreerde incidenten binnen VSV/IGO gerapporteerd en worden zo nodig verbetertrajecten ontwikkeld.</w:t>
            </w:r>
          </w:p>
        </w:tc>
        <w:tc>
          <w:tcPr>
            <w:tcW w:w="1528" w:type="dxa"/>
            <w:vMerge/>
            <w:vAlign w:val="center"/>
            <w:hideMark/>
          </w:tcPr>
          <w:p w14:paraId="13E4BD95"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4949B3E7"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21AD37BD" w14:textId="77777777" w:rsidTr="00DA6E19">
        <w:trPr>
          <w:trHeight w:val="450"/>
        </w:trPr>
        <w:tc>
          <w:tcPr>
            <w:tcW w:w="345" w:type="dxa"/>
            <w:vMerge/>
            <w:hideMark/>
          </w:tcPr>
          <w:p w14:paraId="06D1D8C4"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3B758F8D"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2810DE7A"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wordt gemonitord hoe verbetertrajecten gerealiseerd zijn en zo nodig worden deze bijgesteld.</w:t>
            </w:r>
          </w:p>
        </w:tc>
        <w:tc>
          <w:tcPr>
            <w:tcW w:w="1528" w:type="dxa"/>
            <w:vMerge/>
            <w:vAlign w:val="center"/>
            <w:hideMark/>
          </w:tcPr>
          <w:p w14:paraId="2A33C863"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1F9B3E2E"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r w:rsidR="00D56107" w:rsidRPr="00B156D0" w14:paraId="6E1C597E" w14:textId="77777777" w:rsidTr="00DA6E19">
        <w:trPr>
          <w:trHeight w:val="450"/>
        </w:trPr>
        <w:tc>
          <w:tcPr>
            <w:tcW w:w="345" w:type="dxa"/>
            <w:shd w:val="clear" w:color="auto" w:fill="auto"/>
            <w:hideMark/>
          </w:tcPr>
          <w:p w14:paraId="0D401D03"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6FA5BD46"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Eisen Inspectie Gezondheidszorg (IGz)</w:t>
            </w:r>
          </w:p>
        </w:tc>
        <w:tc>
          <w:tcPr>
            <w:tcW w:w="7130" w:type="dxa"/>
            <w:shd w:val="clear" w:color="auto" w:fill="auto"/>
            <w:vAlign w:val="center"/>
            <w:hideMark/>
          </w:tcPr>
          <w:p w14:paraId="445B27AE"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Jaarlijks wordt op de website van de Inspectie www.igz.nl vastgesteld of er aandachtsgebieden zijn waar het VSV/ IGO zich de komende periode op zou moeten richten.</w:t>
            </w:r>
          </w:p>
        </w:tc>
        <w:tc>
          <w:tcPr>
            <w:tcW w:w="1528" w:type="dxa"/>
            <w:shd w:val="clear" w:color="auto" w:fill="auto"/>
            <w:noWrap/>
            <w:vAlign w:val="center"/>
            <w:hideMark/>
          </w:tcPr>
          <w:p w14:paraId="780E24C9"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c>
          <w:tcPr>
            <w:tcW w:w="822" w:type="dxa"/>
            <w:shd w:val="clear" w:color="auto" w:fill="auto"/>
            <w:noWrap/>
            <w:vAlign w:val="center"/>
            <w:hideMark/>
          </w:tcPr>
          <w:p w14:paraId="51A62669"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r>
      <w:tr w:rsidR="00D56107" w:rsidRPr="00B156D0" w14:paraId="5A36F8C0" w14:textId="77777777" w:rsidTr="00DA6E19">
        <w:trPr>
          <w:trHeight w:val="1125"/>
        </w:trPr>
        <w:tc>
          <w:tcPr>
            <w:tcW w:w="345" w:type="dxa"/>
            <w:shd w:val="clear" w:color="auto" w:fill="auto"/>
            <w:hideMark/>
          </w:tcPr>
          <w:p w14:paraId="50A21E53"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lastRenderedPageBreak/>
              <w:sym w:font="Symbol" w:char="F0A0"/>
            </w:r>
          </w:p>
        </w:tc>
        <w:tc>
          <w:tcPr>
            <w:tcW w:w="3395" w:type="dxa"/>
            <w:shd w:val="clear" w:color="auto" w:fill="auto"/>
            <w:vAlign w:val="center"/>
            <w:hideMark/>
          </w:tcPr>
          <w:p w14:paraId="76723130"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Benchmark VSV of IGO met landelijke gegevens</w:t>
            </w:r>
          </w:p>
        </w:tc>
        <w:tc>
          <w:tcPr>
            <w:tcW w:w="7130" w:type="dxa"/>
            <w:shd w:val="clear" w:color="auto" w:fill="auto"/>
            <w:vAlign w:val="center"/>
            <w:hideMark/>
          </w:tcPr>
          <w:p w14:paraId="15D5F2E1"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 xml:space="preserve">Benchmarking is een methode om resultaten van je organisatie (bijvoorbeeld prestatiegegevens) te vergelijken met die van vergelijkbare organisaties. Op basis van deze vergelijkingen kunnen bijvoorbeeld doestellingen geformuleerd worden om resultaten te verbeteren.  Een eerste stap in benchmarking voor VSV’s/IGO’s is het gebruik van de gegevens die door Perined worden opgeleverd: Perined-Insight. </w:t>
            </w:r>
          </w:p>
        </w:tc>
        <w:tc>
          <w:tcPr>
            <w:tcW w:w="1528" w:type="dxa"/>
            <w:shd w:val="clear" w:color="auto" w:fill="auto"/>
            <w:noWrap/>
            <w:vAlign w:val="center"/>
            <w:hideMark/>
          </w:tcPr>
          <w:p w14:paraId="4BD35FB4"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4</w:t>
            </w:r>
          </w:p>
        </w:tc>
        <w:tc>
          <w:tcPr>
            <w:tcW w:w="822" w:type="dxa"/>
            <w:shd w:val="clear" w:color="auto" w:fill="auto"/>
            <w:noWrap/>
            <w:vAlign w:val="center"/>
            <w:hideMark/>
          </w:tcPr>
          <w:p w14:paraId="070B5E8D"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2</w:t>
            </w:r>
          </w:p>
        </w:tc>
      </w:tr>
      <w:tr w:rsidR="00D56107" w:rsidRPr="00B156D0" w14:paraId="09C66FB7" w14:textId="77777777" w:rsidTr="00DA6E19">
        <w:trPr>
          <w:trHeight w:val="1575"/>
        </w:trPr>
        <w:tc>
          <w:tcPr>
            <w:tcW w:w="345" w:type="dxa"/>
            <w:shd w:val="clear" w:color="auto" w:fill="auto"/>
            <w:hideMark/>
          </w:tcPr>
          <w:p w14:paraId="09F1BA11"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shd w:val="clear" w:color="auto" w:fill="auto"/>
            <w:vAlign w:val="center"/>
            <w:hideMark/>
          </w:tcPr>
          <w:p w14:paraId="197BC943"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Onderlinge benchmark VSV of IGO</w:t>
            </w:r>
          </w:p>
        </w:tc>
        <w:tc>
          <w:tcPr>
            <w:tcW w:w="7130" w:type="dxa"/>
            <w:shd w:val="clear" w:color="auto" w:fill="auto"/>
            <w:vAlign w:val="center"/>
            <w:hideMark/>
          </w:tcPr>
          <w:p w14:paraId="3CE4D3D3"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Een andere onderlinge benchmark mogelijkheid voor VSV’s/IGO’s is het onderling vergelijken van gegevens aan de hand van bijvoorbeeld Perined gegevens (maar in principe zouden ook andere gegevens hiervoor gebruikt kunnen worden.Hierbij spreken VSV’s/ IGO’s die hieraan willen meedoen dat zij periodiek (bijvoorbeeld jaarlijks) elkaars gegevens ontvangen en bespreken. Bij deze methode worden de prestaties van de VSV’s/IGO’s niet vergeleken met landelijke gemiddelden, maar met (bekende) andere VSV’s/IGO’s. Hiervoor zijn de organisaties fysiek aanwezig.</w:t>
            </w:r>
          </w:p>
        </w:tc>
        <w:tc>
          <w:tcPr>
            <w:tcW w:w="1528" w:type="dxa"/>
            <w:shd w:val="clear" w:color="auto" w:fill="auto"/>
            <w:noWrap/>
            <w:vAlign w:val="center"/>
            <w:hideMark/>
          </w:tcPr>
          <w:p w14:paraId="319F203E"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5</w:t>
            </w:r>
          </w:p>
        </w:tc>
        <w:tc>
          <w:tcPr>
            <w:tcW w:w="822" w:type="dxa"/>
            <w:shd w:val="clear" w:color="auto" w:fill="auto"/>
            <w:noWrap/>
            <w:vAlign w:val="center"/>
            <w:hideMark/>
          </w:tcPr>
          <w:p w14:paraId="40A4B527"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r>
      <w:tr w:rsidR="00D56107" w:rsidRPr="00B156D0" w14:paraId="0E1EDCA6" w14:textId="77777777" w:rsidTr="00DA6E19">
        <w:trPr>
          <w:trHeight w:val="1125"/>
        </w:trPr>
        <w:tc>
          <w:tcPr>
            <w:tcW w:w="345" w:type="dxa"/>
            <w:vMerge w:val="restart"/>
            <w:shd w:val="clear" w:color="auto" w:fill="auto"/>
            <w:hideMark/>
          </w:tcPr>
          <w:p w14:paraId="1CB86B17" w14:textId="77777777" w:rsidR="00D56107" w:rsidRPr="00B156D0" w:rsidRDefault="00D56107" w:rsidP="00DA6E19">
            <w:pPr>
              <w:spacing w:line="240" w:lineRule="auto"/>
              <w:jc w:val="center"/>
              <w:rPr>
                <w:rFonts w:asciiTheme="minorHAnsi" w:eastAsia="Times New Roman" w:hAnsiTheme="minorHAnsi" w:cstheme="minorHAnsi"/>
                <w:color w:val="000000"/>
                <w:sz w:val="18"/>
                <w:szCs w:val="16"/>
                <w:lang w:eastAsia="nl-NL"/>
              </w:rPr>
            </w:pPr>
            <w:r w:rsidRPr="00B156D0">
              <w:rPr>
                <w:rFonts w:asciiTheme="minorHAnsi" w:eastAsia="Times New Roman" w:hAnsiTheme="minorHAnsi" w:cstheme="minorHAnsi"/>
                <w:color w:val="000000"/>
                <w:sz w:val="18"/>
                <w:szCs w:val="16"/>
                <w:lang w:eastAsia="nl-NL"/>
              </w:rPr>
              <w:sym w:font="Symbol" w:char="F0A0"/>
            </w:r>
          </w:p>
        </w:tc>
        <w:tc>
          <w:tcPr>
            <w:tcW w:w="3395" w:type="dxa"/>
            <w:vMerge w:val="restart"/>
            <w:shd w:val="clear" w:color="auto" w:fill="auto"/>
            <w:vAlign w:val="center"/>
            <w:hideMark/>
          </w:tcPr>
          <w:p w14:paraId="69F12041"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Intern en extern auditsysteem voor VSV of IGO</w:t>
            </w:r>
          </w:p>
        </w:tc>
        <w:tc>
          <w:tcPr>
            <w:tcW w:w="7130" w:type="dxa"/>
            <w:shd w:val="clear" w:color="auto" w:fill="auto"/>
            <w:vAlign w:val="center"/>
            <w:hideMark/>
          </w:tcPr>
          <w:p w14:paraId="626F41B7"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VSV’s/IGO’s kunnen ook met elkaar een intern auditsysteem opzetten. Hiervoor wordt allereerst met elkaar afgesproken welk onderwerp of onderwerpen onder de loep genomen worden (bijvoorbeeld de aanwezigheid en werkzaamheid van het kwaliteitssysteem). Vooraf zou met elkaar bepaald kunnen worden wat minimale eisen zijn waaraan een kwaliteitssysteem van een VSV/IGO zou moeten voldoen.</w:t>
            </w:r>
          </w:p>
        </w:tc>
        <w:tc>
          <w:tcPr>
            <w:tcW w:w="1528" w:type="dxa"/>
            <w:vMerge w:val="restart"/>
            <w:shd w:val="clear" w:color="auto" w:fill="auto"/>
            <w:noWrap/>
            <w:vAlign w:val="center"/>
            <w:hideMark/>
          </w:tcPr>
          <w:p w14:paraId="6138FD18"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6</w:t>
            </w:r>
          </w:p>
        </w:tc>
        <w:tc>
          <w:tcPr>
            <w:tcW w:w="822" w:type="dxa"/>
            <w:vMerge w:val="restart"/>
            <w:shd w:val="clear" w:color="auto" w:fill="auto"/>
            <w:noWrap/>
            <w:vAlign w:val="center"/>
            <w:hideMark/>
          </w:tcPr>
          <w:p w14:paraId="625265F9" w14:textId="77777777" w:rsidR="00D56107" w:rsidRPr="00B156D0" w:rsidRDefault="00D56107" w:rsidP="00DA6E19">
            <w:pPr>
              <w:spacing w:line="240" w:lineRule="auto"/>
              <w:jc w:val="center"/>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3</w:t>
            </w:r>
          </w:p>
        </w:tc>
      </w:tr>
      <w:tr w:rsidR="00D56107" w:rsidRPr="00B156D0" w14:paraId="44F5B573" w14:textId="77777777" w:rsidTr="00DA6E19">
        <w:trPr>
          <w:trHeight w:val="900"/>
        </w:trPr>
        <w:tc>
          <w:tcPr>
            <w:tcW w:w="345" w:type="dxa"/>
            <w:vMerge/>
            <w:vAlign w:val="center"/>
            <w:hideMark/>
          </w:tcPr>
          <w:p w14:paraId="510381F4"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3395" w:type="dxa"/>
            <w:vMerge/>
            <w:vAlign w:val="center"/>
            <w:hideMark/>
          </w:tcPr>
          <w:p w14:paraId="0E9D4995"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7130" w:type="dxa"/>
            <w:shd w:val="clear" w:color="auto" w:fill="auto"/>
            <w:vAlign w:val="center"/>
            <w:hideMark/>
          </w:tcPr>
          <w:p w14:paraId="431C87BC" w14:textId="77777777" w:rsidR="00D56107" w:rsidRPr="00B156D0" w:rsidRDefault="00D56107" w:rsidP="00DA6E19">
            <w:pPr>
              <w:spacing w:line="240" w:lineRule="auto"/>
              <w:rPr>
                <w:rFonts w:asciiTheme="minorHAnsi" w:eastAsia="Times New Roman" w:hAnsiTheme="minorHAnsi" w:cstheme="minorHAnsi"/>
                <w:color w:val="000000" w:themeColor="text1"/>
                <w:sz w:val="18"/>
                <w:szCs w:val="16"/>
                <w:lang w:eastAsia="nl-NL"/>
              </w:rPr>
            </w:pPr>
            <w:r w:rsidRPr="00B156D0">
              <w:rPr>
                <w:rFonts w:asciiTheme="minorHAnsi" w:eastAsia="Times New Roman" w:hAnsiTheme="minorHAnsi" w:cstheme="minorHAnsi"/>
                <w:color w:val="000000"/>
                <w:sz w:val="18"/>
                <w:szCs w:val="16"/>
                <w:lang w:eastAsia="nl-NL"/>
              </w:rPr>
              <w:t>Een extern auditsysteem kan gebruikt worden voor het accrediteren van VSV’s/IGO’s die aan, door de VSV’s/IGO’s zelf opgestelde eisen voldoen. Het VSV/IGO die geaccrediteerd is krijgt op deze wijze een ‘keurmerk’ van de accrediterende organisatie. Vergelijkbare accreditatiesystemen zijn bijvoorbeeld NHG-Praktijkaccreditering,</w:t>
            </w:r>
          </w:p>
        </w:tc>
        <w:tc>
          <w:tcPr>
            <w:tcW w:w="1528" w:type="dxa"/>
            <w:vMerge/>
            <w:vAlign w:val="center"/>
            <w:hideMark/>
          </w:tcPr>
          <w:p w14:paraId="38901063"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c>
          <w:tcPr>
            <w:tcW w:w="822" w:type="dxa"/>
            <w:vMerge/>
            <w:vAlign w:val="center"/>
            <w:hideMark/>
          </w:tcPr>
          <w:p w14:paraId="09D17EAF" w14:textId="77777777" w:rsidR="00D56107" w:rsidRPr="00B156D0" w:rsidRDefault="00D56107" w:rsidP="00DA6E19">
            <w:pPr>
              <w:spacing w:line="240" w:lineRule="auto"/>
              <w:rPr>
                <w:rFonts w:asciiTheme="minorHAnsi" w:eastAsia="Times New Roman" w:hAnsiTheme="minorHAnsi" w:cstheme="minorHAnsi"/>
                <w:color w:val="000000"/>
                <w:sz w:val="18"/>
                <w:szCs w:val="16"/>
                <w:lang w:eastAsia="nl-NL"/>
              </w:rPr>
            </w:pPr>
          </w:p>
        </w:tc>
      </w:tr>
    </w:tbl>
    <w:p w14:paraId="213EC742" w14:textId="77777777" w:rsidR="00D56107" w:rsidRPr="00B156D0" w:rsidRDefault="00D56107" w:rsidP="00D56107">
      <w:pPr>
        <w:rPr>
          <w:rFonts w:asciiTheme="minorHAnsi" w:hAnsiTheme="minorHAnsi" w:cstheme="minorHAnsi"/>
          <w:sz w:val="22"/>
        </w:rPr>
      </w:pPr>
      <w:r w:rsidRPr="00B156D0">
        <w:rPr>
          <w:rFonts w:asciiTheme="minorHAnsi" w:hAnsiTheme="minorHAnsi" w:cstheme="minorHAnsi"/>
          <w:sz w:val="22"/>
        </w:rPr>
        <w:fldChar w:fldCharType="end"/>
      </w:r>
    </w:p>
    <w:p w14:paraId="006EF796" w14:textId="77777777" w:rsidR="000963E0" w:rsidRPr="00B156D0" w:rsidRDefault="000963E0">
      <w:pPr>
        <w:rPr>
          <w:rFonts w:asciiTheme="minorHAnsi" w:hAnsiTheme="minorHAnsi" w:cstheme="minorHAnsi"/>
          <w:sz w:val="22"/>
        </w:rPr>
      </w:pPr>
    </w:p>
    <w:sectPr w:rsidR="000963E0" w:rsidRPr="00B156D0" w:rsidSect="00D56107">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8AC0A" w14:textId="77777777" w:rsidR="00EC0261" w:rsidRDefault="00EC0261" w:rsidP="00D56107">
      <w:pPr>
        <w:spacing w:line="240" w:lineRule="auto"/>
      </w:pPr>
      <w:r>
        <w:separator/>
      </w:r>
    </w:p>
  </w:endnote>
  <w:endnote w:type="continuationSeparator" w:id="0">
    <w:p w14:paraId="1DBCCA89" w14:textId="77777777" w:rsidR="00EC0261" w:rsidRDefault="00EC0261" w:rsidP="00D56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02ED4" w14:textId="77777777" w:rsidR="00EC0261" w:rsidRDefault="00EC0261" w:rsidP="00D56107">
      <w:pPr>
        <w:spacing w:line="240" w:lineRule="auto"/>
      </w:pPr>
      <w:r>
        <w:separator/>
      </w:r>
    </w:p>
  </w:footnote>
  <w:footnote w:type="continuationSeparator" w:id="0">
    <w:p w14:paraId="69216C01" w14:textId="77777777" w:rsidR="00EC0261" w:rsidRDefault="00EC0261" w:rsidP="00D56107">
      <w:pPr>
        <w:spacing w:line="240" w:lineRule="auto"/>
      </w:pPr>
      <w:r>
        <w:continuationSeparator/>
      </w:r>
    </w:p>
  </w:footnote>
  <w:footnote w:id="1">
    <w:p w14:paraId="42395F45" w14:textId="77777777" w:rsidR="00D56107" w:rsidRDefault="00D56107" w:rsidP="00D56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DBBD" w14:textId="687AD365" w:rsidR="00B156D0" w:rsidRDefault="00B156D0" w:rsidP="00B156D0">
    <w:pPr>
      <w:pStyle w:val="Koptekst"/>
      <w:rPr>
        <w:noProof/>
      </w:rPr>
    </w:pPr>
    <w:bookmarkStart w:id="7" w:name="_Hlk510527555"/>
    <w:r>
      <w:rPr>
        <w:noProof/>
      </w:rPr>
      <w:drawing>
        <wp:anchor distT="0" distB="0" distL="114300" distR="114300" simplePos="0" relativeHeight="251658240" behindDoc="0" locked="0" layoutInCell="1" allowOverlap="1" wp14:anchorId="1DFBAF70" wp14:editId="0CD76809">
          <wp:simplePos x="0" y="0"/>
          <wp:positionH relativeFrom="column">
            <wp:posOffset>-574040</wp:posOffset>
          </wp:positionH>
          <wp:positionV relativeFrom="topMargin">
            <wp:posOffset>284480</wp:posOffset>
          </wp:positionV>
          <wp:extent cx="2278380" cy="589915"/>
          <wp:effectExtent l="0" t="0" r="7620" b="6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leet CPZ logo.jpg"/>
                  <pic:cNvPicPr/>
                </pic:nvPicPr>
                <pic:blipFill>
                  <a:blip r:embed="rId1">
                    <a:extLst>
                      <a:ext uri="{28A0092B-C50C-407E-A947-70E740481C1C}">
                        <a14:useLocalDpi xmlns:a14="http://schemas.microsoft.com/office/drawing/2010/main" val="0"/>
                      </a:ext>
                    </a:extLst>
                  </a:blip>
                  <a:stretch>
                    <a:fillRect/>
                  </a:stretch>
                </pic:blipFill>
                <pic:spPr>
                  <a:xfrm>
                    <a:off x="0" y="0"/>
                    <a:ext cx="2278380" cy="589915"/>
                  </a:xfrm>
                  <a:prstGeom prst="rect">
                    <a:avLst/>
                  </a:prstGeom>
                </pic:spPr>
              </pic:pic>
            </a:graphicData>
          </a:graphic>
          <wp14:sizeRelH relativeFrom="margin">
            <wp14:pctWidth>0</wp14:pctWidth>
          </wp14:sizeRelH>
          <wp14:sizeRelV relativeFrom="margin">
            <wp14:pctHeight>0</wp14:pctHeight>
          </wp14:sizeRelV>
        </wp:anchor>
      </w:drawing>
    </w:r>
  </w:p>
  <w:p w14:paraId="4A8AB967" w14:textId="77777777" w:rsidR="00B156D0" w:rsidRDefault="00B156D0" w:rsidP="00B156D0">
    <w:pPr>
      <w:pStyle w:val="Koptekst"/>
      <w:rPr>
        <w:noProof/>
      </w:rPr>
    </w:pPr>
  </w:p>
  <w:p w14:paraId="46F772CB" w14:textId="77777777" w:rsidR="00B156D0" w:rsidRDefault="00B156D0" w:rsidP="00B156D0">
    <w:pPr>
      <w:pStyle w:val="Koptekst"/>
      <w:rPr>
        <w:noProof/>
      </w:rPr>
    </w:pPr>
  </w:p>
  <w:bookmarkEnd w:id="7"/>
  <w:p w14:paraId="4CBF882E" w14:textId="3D32FF59" w:rsidR="00B156D0" w:rsidRDefault="00B156D0">
    <w:pPr>
      <w:pStyle w:val="Koptekst"/>
    </w:pPr>
  </w:p>
  <w:p w14:paraId="4D34E517" w14:textId="77777777" w:rsidR="00B156D0" w:rsidRDefault="00B156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07"/>
    <w:rsid w:val="000963E0"/>
    <w:rsid w:val="00B156D0"/>
    <w:rsid w:val="00BE5CA8"/>
    <w:rsid w:val="00CC6C17"/>
    <w:rsid w:val="00D56107"/>
    <w:rsid w:val="00EC02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A3771"/>
  <w15:chartTrackingRefBased/>
  <w15:docId w15:val="{8BFDECB9-9EE4-440C-B340-D9D76F83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6107"/>
    <w:pPr>
      <w:spacing w:line="259" w:lineRule="auto"/>
      <w:jc w:val="left"/>
    </w:pPr>
    <w:rPr>
      <w:rFonts w:ascii="Arial" w:hAnsi="Arial"/>
      <w:sz w:val="20"/>
    </w:rPr>
  </w:style>
  <w:style w:type="paragraph" w:styleId="Kop2">
    <w:name w:val="heading 2"/>
    <w:basedOn w:val="Standaard"/>
    <w:next w:val="Standaard"/>
    <w:link w:val="Kop2Char"/>
    <w:unhideWhenUsed/>
    <w:qFormat/>
    <w:rsid w:val="00D56107"/>
    <w:pPr>
      <w:keepNext/>
      <w:keepLines/>
      <w:spacing w:before="40"/>
      <w:outlineLvl w:val="1"/>
    </w:pPr>
    <w:rPr>
      <w:rFonts w:eastAsiaTheme="majorEastAsia" w:cstheme="majorBidi"/>
      <w:b/>
      <w:sz w:val="24"/>
      <w:szCs w:val="26"/>
    </w:rPr>
  </w:style>
  <w:style w:type="paragraph" w:styleId="Kop3">
    <w:name w:val="heading 3"/>
    <w:basedOn w:val="Standaard"/>
    <w:next w:val="Standaard"/>
    <w:link w:val="Kop3Char"/>
    <w:autoRedefine/>
    <w:uiPriority w:val="9"/>
    <w:unhideWhenUsed/>
    <w:qFormat/>
    <w:rsid w:val="00BE5CA8"/>
    <w:pPr>
      <w:keepNext/>
      <w:keepLines/>
      <w:spacing w:before="40" w:line="240" w:lineRule="auto"/>
      <w:outlineLvl w:val="2"/>
    </w:pPr>
    <w:rPr>
      <w:rFonts w:eastAsiaTheme="majorEastAsia" w:cstheme="majorBidi"/>
      <w:b/>
      <w:i/>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E5CA8"/>
    <w:rPr>
      <w:rFonts w:ascii="Arial" w:eastAsiaTheme="majorEastAsia" w:hAnsi="Arial" w:cstheme="majorBidi"/>
      <w:b/>
      <w:i/>
      <w:szCs w:val="24"/>
    </w:rPr>
  </w:style>
  <w:style w:type="character" w:customStyle="1" w:styleId="Kop2Char">
    <w:name w:val="Kop 2 Char"/>
    <w:basedOn w:val="Standaardalinea-lettertype"/>
    <w:link w:val="Kop2"/>
    <w:rsid w:val="00D56107"/>
    <w:rPr>
      <w:rFonts w:ascii="Arial" w:eastAsiaTheme="majorEastAsia" w:hAnsi="Arial" w:cstheme="majorBidi"/>
      <w:b/>
      <w:sz w:val="24"/>
      <w:szCs w:val="26"/>
    </w:rPr>
  </w:style>
  <w:style w:type="paragraph" w:styleId="Koptekst">
    <w:name w:val="header"/>
    <w:basedOn w:val="Standaard"/>
    <w:link w:val="KoptekstChar"/>
    <w:uiPriority w:val="99"/>
    <w:unhideWhenUsed/>
    <w:rsid w:val="00B156D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156D0"/>
    <w:rPr>
      <w:rFonts w:ascii="Arial" w:hAnsi="Arial"/>
      <w:sz w:val="20"/>
    </w:rPr>
  </w:style>
  <w:style w:type="paragraph" w:styleId="Voettekst">
    <w:name w:val="footer"/>
    <w:basedOn w:val="Standaard"/>
    <w:link w:val="VoettekstChar"/>
    <w:uiPriority w:val="99"/>
    <w:unhideWhenUsed/>
    <w:rsid w:val="00B156D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156D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187F271E6764BA7C3A6A48E0CBADB" ma:contentTypeVersion="24" ma:contentTypeDescription="Een nieuw document maken." ma:contentTypeScope="" ma:versionID="58729f679c47cf17afba653ae4f68142">
  <xsd:schema xmlns:xsd="http://www.w3.org/2001/XMLSchema" xmlns:xs="http://www.w3.org/2001/XMLSchema" xmlns:p="http://schemas.microsoft.com/office/2006/metadata/properties" xmlns:ns2="ec9541f1-3b43-482c-a8de-1b403dece07c" xmlns:ns3="bf4a096b-ecb1-4e85-a1e0-80c521e034ab" xmlns:ns4="18bc3f94-dfc0-4b96-9f8a-0e5bbfb16367" targetNamespace="http://schemas.microsoft.com/office/2006/metadata/properties" ma:root="true" ma:fieldsID="2601f3e163460f17f5f873e606375361" ns2:_="" ns3:_="" ns4:_="">
    <xsd:import namespace="ec9541f1-3b43-482c-a8de-1b403dece07c"/>
    <xsd:import namespace="bf4a096b-ecb1-4e85-a1e0-80c521e034ab"/>
    <xsd:import namespace="18bc3f94-dfc0-4b96-9f8a-0e5bbfb16367"/>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541f1-3b43-482c-a8de-1b403dece0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a096b-ecb1-4e85-a1e0-80c521e034ab"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bc3f94-dfc0-4b96-9f8a-0e5bbfb163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41C1F-9AEF-4799-A938-A02A80567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541f1-3b43-482c-a8de-1b403dece07c"/>
    <ds:schemaRef ds:uri="bf4a096b-ecb1-4e85-a1e0-80c521e034ab"/>
    <ds:schemaRef ds:uri="18bc3f94-dfc0-4b96-9f8a-0e5bbfb16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CA971-B82A-46B3-A90B-59746D88E1AC}">
  <ds:schemaRefs>
    <ds:schemaRef ds:uri="http://schemas.microsoft.com/sharepoint/v3/contenttype/forms"/>
  </ds:schemaRefs>
</ds:datastoreItem>
</file>

<file path=customXml/itemProps3.xml><?xml version="1.0" encoding="utf-8"?>
<ds:datastoreItem xmlns:ds="http://schemas.openxmlformats.org/officeDocument/2006/customXml" ds:itemID="{A9DFF7DF-3C7B-4FDC-81AF-B8736D01C1A6}">
  <ds:schemaRefs>
    <ds:schemaRef ds:uri="http://purl.org/dc/elements/1.1/"/>
    <ds:schemaRef ds:uri="http://schemas.microsoft.com/office/2006/metadata/properties"/>
    <ds:schemaRef ds:uri="http://purl.org/dc/terms/"/>
    <ds:schemaRef ds:uri="http://schemas.openxmlformats.org/package/2006/metadata/core-properties"/>
    <ds:schemaRef ds:uri="ec9541f1-3b43-482c-a8de-1b403dece07c"/>
    <ds:schemaRef ds:uri="http://schemas.microsoft.com/office/2006/documentManagement/types"/>
    <ds:schemaRef ds:uri="http://schemas.microsoft.com/office/infopath/2007/PartnerControls"/>
    <ds:schemaRef ds:uri="18bc3f94-dfc0-4b96-9f8a-0e5bbfb16367"/>
    <ds:schemaRef ds:uri="bf4a096b-ecb1-4e85-a1e0-80c521e034a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2678</Words>
  <Characters>14735</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Boesveld</dc:creator>
  <cp:keywords/>
  <dc:description/>
  <cp:lastModifiedBy>Anneke Wiggers</cp:lastModifiedBy>
  <cp:revision>2</cp:revision>
  <dcterms:created xsi:type="dcterms:W3CDTF">2018-04-09T15:49:00Z</dcterms:created>
  <dcterms:modified xsi:type="dcterms:W3CDTF">2018-04-09T15:49:00Z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0x010100DB7187F271E6764BA7C3A6A48E0CBADB</vt:lpwstr>
  </property>
</Properties>
</file>